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58D" w:rsidRPr="003A030F" w:rsidRDefault="00AB058D" w:rsidP="00AB058D">
      <w:pPr>
        <w:spacing w:after="14" w:line="248" w:lineRule="auto"/>
        <w:ind w:left="633" w:right="49"/>
        <w:jc w:val="center"/>
        <w:rPr>
          <w:rFonts w:ascii="Times New Roman" w:hAnsi="Times New Roman" w:cs="Times New Roman"/>
          <w:sz w:val="28"/>
          <w:szCs w:val="28"/>
        </w:rPr>
      </w:pPr>
      <w:r w:rsidRPr="003A030F">
        <w:rPr>
          <w:rFonts w:ascii="Times New Roman" w:hAnsi="Times New Roman" w:cs="Times New Roman"/>
          <w:b/>
          <w:sz w:val="28"/>
          <w:szCs w:val="28"/>
        </w:rPr>
        <w:t>Kitöltési útmutató a</w:t>
      </w:r>
      <w:r w:rsidR="003A030F">
        <w:rPr>
          <w:rFonts w:ascii="Times New Roman" w:hAnsi="Times New Roman" w:cs="Times New Roman"/>
          <w:b/>
          <w:sz w:val="28"/>
          <w:szCs w:val="28"/>
        </w:rPr>
        <w:t xml:space="preserve"> </w:t>
      </w:r>
      <w:r w:rsidRPr="003A030F">
        <w:rPr>
          <w:rFonts w:ascii="Times New Roman" w:hAnsi="Times New Roman" w:cs="Times New Roman"/>
          <w:b/>
          <w:sz w:val="28"/>
          <w:szCs w:val="28"/>
        </w:rPr>
        <w:t>2017. évi állandó jellegű helyi iparűzési tevékenység utáni adóbevallási nyomtatványhoz (hagyományos és elektronikus beküldéshez)</w:t>
      </w:r>
    </w:p>
    <w:p w:rsidR="00AB058D" w:rsidRPr="00FA47EF" w:rsidRDefault="00AB058D" w:rsidP="00AB058D">
      <w:pPr>
        <w:spacing w:after="0" w:line="259" w:lineRule="auto"/>
        <w:ind w:left="623" w:right="0" w:firstLine="0"/>
        <w:jc w:val="left"/>
        <w:rPr>
          <w:rFonts w:ascii="Times New Roman" w:hAnsi="Times New Roman" w:cs="Times New Roman"/>
          <w:sz w:val="24"/>
          <w:szCs w:val="24"/>
        </w:rPr>
      </w:pPr>
      <w:r w:rsidRPr="00FA47EF">
        <w:rPr>
          <w:rFonts w:ascii="Times New Roman" w:hAnsi="Times New Roman" w:cs="Times New Roman"/>
          <w:sz w:val="24"/>
          <w:szCs w:val="24"/>
        </w:rPr>
        <w:t xml:space="preserve"> </w:t>
      </w:r>
    </w:p>
    <w:p w:rsidR="00AB058D" w:rsidRPr="00FA47EF" w:rsidRDefault="00AB058D" w:rsidP="00AB058D">
      <w:pPr>
        <w:spacing w:after="0" w:line="259" w:lineRule="auto"/>
        <w:ind w:left="623" w:right="0" w:firstLine="0"/>
        <w:jc w:val="left"/>
        <w:rPr>
          <w:rFonts w:ascii="Times New Roman" w:hAnsi="Times New Roman" w:cs="Times New Roman"/>
          <w:sz w:val="24"/>
          <w:szCs w:val="24"/>
        </w:rPr>
      </w:pPr>
      <w:r w:rsidRPr="00FA47EF">
        <w:rPr>
          <w:rFonts w:ascii="Times New Roman" w:hAnsi="Times New Roman" w:cs="Times New Roman"/>
          <w:sz w:val="24"/>
          <w:szCs w:val="24"/>
        </w:rPr>
        <w:t xml:space="preserve"> </w:t>
      </w:r>
    </w:p>
    <w:p w:rsidR="00AB058D" w:rsidRPr="00FA47EF" w:rsidRDefault="00AB058D" w:rsidP="00AB058D">
      <w:pPr>
        <w:spacing w:line="259" w:lineRule="auto"/>
        <w:ind w:left="10" w:right="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Bevallás esedékessége:</w:t>
      </w:r>
      <w:r w:rsidRPr="00FA47EF">
        <w:rPr>
          <w:rFonts w:ascii="Times New Roman" w:hAnsi="Times New Roman" w:cs="Times New Roman"/>
          <w:sz w:val="24"/>
          <w:szCs w:val="24"/>
        </w:rPr>
        <w:t xml:space="preserve"> </w:t>
      </w:r>
    </w:p>
    <w:p w:rsidR="00AB058D" w:rsidRPr="00FA47EF" w:rsidRDefault="00AB058D" w:rsidP="00AB058D">
      <w:pPr>
        <w:numPr>
          <w:ilvl w:val="0"/>
          <w:numId w:val="1"/>
        </w:numPr>
        <w:spacing w:after="9"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A naptári évvel azonos üzleti év szerint működő adóalanynak:</w:t>
      </w:r>
      <w:r w:rsidRPr="00FA47EF">
        <w:rPr>
          <w:rFonts w:ascii="Times New Roman" w:hAnsi="Times New Roman" w:cs="Times New Roman"/>
          <w:b/>
          <w:sz w:val="24"/>
          <w:szCs w:val="24"/>
        </w:rPr>
        <w:t xml:space="preserve"> </w:t>
      </w:r>
    </w:p>
    <w:p w:rsidR="00AB058D" w:rsidRPr="00FA47EF" w:rsidRDefault="00AB058D" w:rsidP="00AB058D">
      <w:pPr>
        <w:spacing w:line="259" w:lineRule="auto"/>
        <w:ind w:left="746" w:right="0"/>
        <w:jc w:val="left"/>
        <w:rPr>
          <w:rFonts w:ascii="Times New Roman" w:hAnsi="Times New Roman" w:cs="Times New Roman"/>
          <w:sz w:val="24"/>
          <w:szCs w:val="24"/>
        </w:rPr>
      </w:pPr>
      <w:r w:rsidRPr="00FA47EF">
        <w:rPr>
          <w:rFonts w:ascii="Times New Roman" w:eastAsia="Calibri" w:hAnsi="Times New Roman" w:cs="Times New Roman"/>
          <w:sz w:val="24"/>
          <w:szCs w:val="24"/>
        </w:rPr>
        <w:t>◦</w:t>
      </w:r>
      <w:r w:rsidRPr="00FA47EF">
        <w:rPr>
          <w:rFonts w:ascii="Times New Roman" w:eastAsia="Arial" w:hAnsi="Times New Roman" w:cs="Times New Roman"/>
          <w:sz w:val="24"/>
          <w:szCs w:val="24"/>
        </w:rPr>
        <w:t xml:space="preserve"> </w:t>
      </w:r>
      <w:r w:rsidRPr="00FA47EF">
        <w:rPr>
          <w:rFonts w:ascii="Times New Roman" w:hAnsi="Times New Roman" w:cs="Times New Roman"/>
          <w:b/>
          <w:sz w:val="24"/>
          <w:szCs w:val="24"/>
          <w:u w:val="single" w:color="000000"/>
        </w:rPr>
        <w:t>2018. május 31-ig</w:t>
      </w:r>
      <w:r w:rsidRPr="00FA47EF">
        <w:rPr>
          <w:rFonts w:ascii="Times New Roman" w:hAnsi="Times New Roman" w:cs="Times New Roman"/>
          <w:sz w:val="24"/>
          <w:szCs w:val="24"/>
        </w:rPr>
        <w:t xml:space="preserve"> </w:t>
      </w:r>
    </w:p>
    <w:p w:rsidR="00AB058D" w:rsidRPr="00FA47EF" w:rsidRDefault="00AB058D" w:rsidP="00AB058D">
      <w:pPr>
        <w:numPr>
          <w:ilvl w:val="0"/>
          <w:numId w:val="1"/>
        </w:numPr>
        <w:spacing w:after="9"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A naptári évtől eltérő üzleti évet választó adózónak:</w:t>
      </w:r>
      <w:r w:rsidRPr="00FA47EF">
        <w:rPr>
          <w:rFonts w:ascii="Times New Roman" w:hAnsi="Times New Roman" w:cs="Times New Roman"/>
          <w:b/>
          <w:sz w:val="24"/>
          <w:szCs w:val="24"/>
        </w:rPr>
        <w:t xml:space="preserve"> </w:t>
      </w:r>
    </w:p>
    <w:p w:rsidR="00AB058D" w:rsidRPr="00FA47EF" w:rsidRDefault="00AB058D" w:rsidP="00AB058D">
      <w:pPr>
        <w:spacing w:after="275" w:line="259" w:lineRule="auto"/>
        <w:ind w:left="746" w:right="0"/>
        <w:jc w:val="left"/>
        <w:rPr>
          <w:rFonts w:ascii="Times New Roman" w:hAnsi="Times New Roman" w:cs="Times New Roman"/>
          <w:sz w:val="24"/>
          <w:szCs w:val="24"/>
        </w:rPr>
      </w:pPr>
      <w:r w:rsidRPr="00FA47EF">
        <w:rPr>
          <w:rFonts w:ascii="Times New Roman" w:eastAsia="Calibri" w:hAnsi="Times New Roman" w:cs="Times New Roman"/>
          <w:sz w:val="24"/>
          <w:szCs w:val="24"/>
        </w:rPr>
        <w:t>◦</w:t>
      </w:r>
      <w:r w:rsidRPr="00FA47EF">
        <w:rPr>
          <w:rFonts w:ascii="Times New Roman" w:eastAsia="Arial" w:hAnsi="Times New Roman" w:cs="Times New Roman"/>
          <w:sz w:val="24"/>
          <w:szCs w:val="24"/>
        </w:rPr>
        <w:t xml:space="preserve"> </w:t>
      </w:r>
      <w:r w:rsidRPr="00FA47EF">
        <w:rPr>
          <w:rFonts w:ascii="Times New Roman" w:hAnsi="Times New Roman" w:cs="Times New Roman"/>
          <w:b/>
          <w:sz w:val="24"/>
          <w:szCs w:val="24"/>
          <w:u w:val="single" w:color="000000"/>
        </w:rPr>
        <w:t>az adóév utolsó napját követő ötödik hónap utolsó napjáig.</w:t>
      </w:r>
      <w:r w:rsidRPr="00FA47EF">
        <w:rPr>
          <w:rFonts w:ascii="Times New Roman" w:hAnsi="Times New Roman" w:cs="Times New Roman"/>
          <w:b/>
          <w:sz w:val="24"/>
          <w:szCs w:val="24"/>
        </w:rPr>
        <w:t xml:space="preserve"> </w:t>
      </w:r>
    </w:p>
    <w:p w:rsidR="00AB058D" w:rsidRPr="00FA47EF" w:rsidRDefault="00AB058D" w:rsidP="00AB058D">
      <w:pPr>
        <w:spacing w:line="259" w:lineRule="auto"/>
        <w:ind w:left="10" w:right="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Hivatkozott jogszabályok:</w:t>
      </w:r>
      <w:r w:rsidRPr="00FA47EF">
        <w:rPr>
          <w:rFonts w:ascii="Times New Roman" w:hAnsi="Times New Roman" w:cs="Times New Roman"/>
          <w:sz w:val="24"/>
          <w:szCs w:val="24"/>
        </w:rPr>
        <w:t xml:space="preserve">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Az adóigazgatási rendtartásról szóló 2017. évi CL. törvény (továbbiakban: Air.);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Az adózás rendjéről szóló 2017. évi CL. törvény (továbbiakban: Art.);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 helyi adókról szóló 1990. évi C. törvény (továbbiakban: Htv.);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 számvitelről szóló 2000. évi C. törvény (továbbiakban Sztv.);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 személyi jövedelemadóról szóló 1995. évi CXVII. törvény (a továbbiakban: Szja. tv.);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 társasági adóról és osztalékadóról szóló 1996. évi 81. törvény (a továbbiakban: Tao. tv.);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Cs</w:t>
      </w:r>
      <w:r w:rsidR="0078364E">
        <w:rPr>
          <w:rFonts w:ascii="Times New Roman" w:hAnsi="Times New Roman" w:cs="Times New Roman"/>
          <w:sz w:val="24"/>
          <w:szCs w:val="24"/>
        </w:rPr>
        <w:t>ér</w:t>
      </w:r>
      <w:r w:rsidRPr="00FA47EF">
        <w:rPr>
          <w:rFonts w:ascii="Times New Roman" w:hAnsi="Times New Roman" w:cs="Times New Roman"/>
          <w:sz w:val="24"/>
          <w:szCs w:val="24"/>
        </w:rPr>
        <w:t xml:space="preserve"> </w:t>
      </w:r>
      <w:r w:rsidR="00E93995">
        <w:rPr>
          <w:rFonts w:ascii="Times New Roman" w:hAnsi="Times New Roman" w:cs="Times New Roman"/>
          <w:sz w:val="24"/>
          <w:szCs w:val="24"/>
        </w:rPr>
        <w:t xml:space="preserve">Község </w:t>
      </w:r>
      <w:r w:rsidRPr="00FA47EF">
        <w:rPr>
          <w:rFonts w:ascii="Times New Roman" w:hAnsi="Times New Roman" w:cs="Times New Roman"/>
          <w:sz w:val="24"/>
          <w:szCs w:val="24"/>
        </w:rPr>
        <w:t xml:space="preserve">Önkormányzat Képviselő-testületének </w:t>
      </w:r>
      <w:r w:rsidR="0078364E">
        <w:rPr>
          <w:rFonts w:ascii="Times New Roman" w:hAnsi="Times New Roman" w:cs="Times New Roman"/>
          <w:sz w:val="24"/>
          <w:szCs w:val="24"/>
        </w:rPr>
        <w:t>3</w:t>
      </w:r>
      <w:r w:rsidRPr="00FA47EF">
        <w:rPr>
          <w:rFonts w:ascii="Times New Roman" w:hAnsi="Times New Roman" w:cs="Times New Roman"/>
          <w:sz w:val="24"/>
          <w:szCs w:val="24"/>
        </w:rPr>
        <w:t>/201</w:t>
      </w:r>
      <w:r w:rsidR="0078364E">
        <w:rPr>
          <w:rFonts w:ascii="Times New Roman" w:hAnsi="Times New Roman" w:cs="Times New Roman"/>
          <w:sz w:val="24"/>
          <w:szCs w:val="24"/>
        </w:rPr>
        <w:t>1</w:t>
      </w:r>
      <w:r w:rsidRPr="00FA47EF">
        <w:rPr>
          <w:rFonts w:ascii="Times New Roman" w:hAnsi="Times New Roman" w:cs="Times New Roman"/>
          <w:sz w:val="24"/>
          <w:szCs w:val="24"/>
        </w:rPr>
        <w:t>.(III.1.) önkormányzati rendelete a helyi</w:t>
      </w:r>
      <w:r w:rsidR="00E93995">
        <w:rPr>
          <w:rFonts w:ascii="Times New Roman" w:hAnsi="Times New Roman" w:cs="Times New Roman"/>
          <w:sz w:val="24"/>
          <w:szCs w:val="24"/>
        </w:rPr>
        <w:t xml:space="preserve"> iparűzési</w:t>
      </w:r>
      <w:r w:rsidRPr="00FA47EF">
        <w:rPr>
          <w:rFonts w:ascii="Times New Roman" w:hAnsi="Times New Roman" w:cs="Times New Roman"/>
          <w:sz w:val="24"/>
          <w:szCs w:val="24"/>
        </w:rPr>
        <w:t xml:space="preserve"> ad</w:t>
      </w:r>
      <w:r w:rsidR="00E93995">
        <w:rPr>
          <w:rFonts w:ascii="Times New Roman" w:hAnsi="Times New Roman" w:cs="Times New Roman"/>
          <w:sz w:val="24"/>
          <w:szCs w:val="24"/>
        </w:rPr>
        <w:t>ó</w:t>
      </w:r>
      <w:r w:rsidRPr="00FA47EF">
        <w:rPr>
          <w:rFonts w:ascii="Times New Roman" w:hAnsi="Times New Roman" w:cs="Times New Roman"/>
          <w:sz w:val="24"/>
          <w:szCs w:val="24"/>
        </w:rPr>
        <w:t xml:space="preserve">ról </w:t>
      </w:r>
    </w:p>
    <w:p w:rsidR="00AB058D" w:rsidRPr="00FA47EF" w:rsidRDefault="00AB058D" w:rsidP="00AB058D">
      <w:pPr>
        <w:spacing w:after="0" w:line="259" w:lineRule="auto"/>
        <w:ind w:left="15" w:right="0" w:firstLine="0"/>
        <w:jc w:val="left"/>
        <w:rPr>
          <w:rFonts w:ascii="Times New Roman" w:hAnsi="Times New Roman" w:cs="Times New Roman"/>
          <w:sz w:val="24"/>
          <w:szCs w:val="24"/>
        </w:rPr>
      </w:pPr>
      <w:r w:rsidRPr="00FA47EF">
        <w:rPr>
          <w:rFonts w:ascii="Times New Roman" w:hAnsi="Times New Roman" w:cs="Times New Roman"/>
          <w:sz w:val="24"/>
          <w:szCs w:val="24"/>
        </w:rPr>
        <w:t xml:space="preserve"> </w:t>
      </w:r>
    </w:p>
    <w:p w:rsidR="00AB058D" w:rsidRPr="00FA47EF" w:rsidRDefault="00AB058D" w:rsidP="00AB058D">
      <w:pPr>
        <w:spacing w:line="259" w:lineRule="auto"/>
        <w:ind w:left="10" w:right="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Bevallás benyújtására kötelezettek köre:</w:t>
      </w:r>
      <w:r w:rsidRPr="00FA47EF">
        <w:rPr>
          <w:rFonts w:ascii="Times New Roman" w:hAnsi="Times New Roman" w:cs="Times New Roman"/>
          <w:sz w:val="24"/>
          <w:szCs w:val="24"/>
        </w:rPr>
        <w:t xml:space="preserve"> </w:t>
      </w:r>
    </w:p>
    <w:p w:rsidR="00AB058D" w:rsidRPr="00FA47EF" w:rsidRDefault="00AB058D" w:rsidP="00AB058D">
      <w:pPr>
        <w:numPr>
          <w:ilvl w:val="0"/>
          <w:numId w:val="1"/>
        </w:numPr>
        <w:ind w:left="735" w:right="58"/>
        <w:rPr>
          <w:rFonts w:ascii="Times New Roman" w:hAnsi="Times New Roman" w:cs="Times New Roman"/>
          <w:sz w:val="24"/>
          <w:szCs w:val="24"/>
        </w:rPr>
      </w:pPr>
      <w:r w:rsidRPr="00FA47EF">
        <w:rPr>
          <w:rFonts w:ascii="Times New Roman" w:hAnsi="Times New Roman" w:cs="Times New Roman"/>
          <w:sz w:val="24"/>
          <w:szCs w:val="24"/>
        </w:rPr>
        <w:t>Cs</w:t>
      </w:r>
      <w:r w:rsidR="0078364E">
        <w:rPr>
          <w:rFonts w:ascii="Times New Roman" w:hAnsi="Times New Roman" w:cs="Times New Roman"/>
          <w:sz w:val="24"/>
          <w:szCs w:val="24"/>
        </w:rPr>
        <w:t>ér</w:t>
      </w:r>
      <w:r w:rsidRPr="00FA47EF">
        <w:rPr>
          <w:rFonts w:ascii="Times New Roman" w:hAnsi="Times New Roman" w:cs="Times New Roman"/>
          <w:sz w:val="24"/>
          <w:szCs w:val="24"/>
        </w:rPr>
        <w:t xml:space="preserve"> Község illetékességi területén gazdasági tevékenységet (állandó jellegű iparűzési tevékenységet)</w:t>
      </w:r>
      <w:r w:rsidRPr="00FA47EF">
        <w:rPr>
          <w:rFonts w:ascii="Times New Roman" w:hAnsi="Times New Roman" w:cs="Times New Roman"/>
          <w:b/>
          <w:sz w:val="24"/>
          <w:szCs w:val="24"/>
        </w:rPr>
        <w:t xml:space="preserve"> </w:t>
      </w:r>
      <w:r w:rsidRPr="00FA47EF">
        <w:rPr>
          <w:rFonts w:ascii="Times New Roman" w:hAnsi="Times New Roman" w:cs="Times New Roman"/>
          <w:sz w:val="24"/>
          <w:szCs w:val="24"/>
        </w:rPr>
        <w:t xml:space="preserve">végző vállalkozók, azaz akiknek/amelyeknek székhelyük, telephelyük a települési önkormányzat területén van. </w:t>
      </w:r>
      <w:r w:rsidRPr="00FA47EF">
        <w:rPr>
          <w:rFonts w:ascii="Times New Roman" w:hAnsi="Times New Roman" w:cs="Times New Roman"/>
          <w:b/>
          <w:sz w:val="24"/>
          <w:szCs w:val="24"/>
        </w:rPr>
        <w:t xml:space="preserve">E kötelezettségük akkor is fennáll, ha az adott adóévben a vállalkozásból nem volt adóköteles bevételük. </w:t>
      </w:r>
      <w:r w:rsidRPr="00FA47EF">
        <w:rPr>
          <w:rFonts w:ascii="Times New Roman" w:hAnsi="Times New Roman" w:cs="Times New Roman"/>
          <w:sz w:val="24"/>
          <w:szCs w:val="24"/>
        </w:rPr>
        <w:t>A székhely és a telephely megállapítása során a Htv. 52. § 31. és 41. pontok rendelkezéseiből kell kiindulni.</w:t>
      </w:r>
      <w:r w:rsidRPr="00FA47EF">
        <w:rPr>
          <w:rFonts w:ascii="Times New Roman" w:hAnsi="Times New Roman" w:cs="Times New Roman"/>
          <w:b/>
          <w:sz w:val="24"/>
          <w:szCs w:val="24"/>
        </w:rPr>
        <w:t xml:space="preserve"> </w:t>
      </w:r>
    </w:p>
    <w:p w:rsidR="00AB058D" w:rsidRPr="00FA47EF" w:rsidRDefault="00AB058D" w:rsidP="00AB058D">
      <w:pPr>
        <w:spacing w:after="0" w:line="259" w:lineRule="auto"/>
        <w:ind w:left="15" w:right="0" w:firstLine="0"/>
        <w:jc w:val="left"/>
        <w:rPr>
          <w:rFonts w:ascii="Times New Roman" w:hAnsi="Times New Roman" w:cs="Times New Roman"/>
          <w:sz w:val="24"/>
          <w:szCs w:val="24"/>
        </w:rPr>
      </w:pPr>
      <w:r w:rsidRPr="00FA47EF">
        <w:rPr>
          <w:rFonts w:ascii="Times New Roman" w:hAnsi="Times New Roman" w:cs="Times New Roman"/>
          <w:b/>
          <w:sz w:val="24"/>
          <w:szCs w:val="24"/>
        </w:rPr>
        <w:t xml:space="preserve"> </w:t>
      </w:r>
    </w:p>
    <w:p w:rsidR="00AB058D" w:rsidRPr="00FA47EF" w:rsidRDefault="00AB058D" w:rsidP="00AB058D">
      <w:pPr>
        <w:spacing w:after="0" w:line="259" w:lineRule="auto"/>
        <w:ind w:left="15" w:right="0" w:firstLine="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 xml:space="preserve">Adóalanyok köre </w:t>
      </w:r>
      <w:r w:rsidRPr="00FA47EF">
        <w:rPr>
          <w:rFonts w:ascii="Times New Roman" w:hAnsi="Times New Roman" w:cs="Times New Roman"/>
          <w:sz w:val="24"/>
          <w:szCs w:val="24"/>
          <w:u w:val="single" w:color="000000"/>
        </w:rPr>
        <w:t>(Htv. 52. § 26. pont)</w:t>
      </w:r>
      <w:r w:rsidRPr="00FA47EF">
        <w:rPr>
          <w:rFonts w:ascii="Times New Roman" w:hAnsi="Times New Roman" w:cs="Times New Roman"/>
          <w:b/>
          <w:sz w:val="24"/>
          <w:szCs w:val="24"/>
          <w:u w:val="single" w:color="000000"/>
        </w:rPr>
        <w:t>:</w:t>
      </w:r>
      <w:r w:rsidRPr="00FA47EF">
        <w:rPr>
          <w:rFonts w:ascii="Times New Roman" w:hAnsi="Times New Roman" w:cs="Times New Roman"/>
          <w:b/>
          <w:sz w:val="24"/>
          <w:szCs w:val="24"/>
        </w:rPr>
        <w:t xml:space="preserve"> </w:t>
      </w:r>
    </w:p>
    <w:p w:rsidR="00AB058D" w:rsidRPr="00FA47EF" w:rsidRDefault="00AB058D" w:rsidP="00AB058D">
      <w:pPr>
        <w:spacing w:after="0" w:line="259" w:lineRule="auto"/>
        <w:ind w:left="15" w:right="0" w:firstLine="0"/>
        <w:jc w:val="left"/>
        <w:rPr>
          <w:rFonts w:ascii="Times New Roman" w:hAnsi="Times New Roman" w:cs="Times New Roman"/>
          <w:sz w:val="24"/>
          <w:szCs w:val="24"/>
        </w:rPr>
      </w:pPr>
      <w:r w:rsidRPr="00FA47EF">
        <w:rPr>
          <w:rFonts w:ascii="Times New Roman" w:hAnsi="Times New Roman" w:cs="Times New Roman"/>
          <w:b/>
          <w:sz w:val="24"/>
          <w:szCs w:val="24"/>
        </w:rPr>
        <w:t xml:space="preserve"> </w:t>
      </w:r>
    </w:p>
    <w:p w:rsidR="00AB058D" w:rsidRPr="00FA47EF" w:rsidRDefault="00AB058D" w:rsidP="00AB058D">
      <w:pPr>
        <w:ind w:left="10" w:right="55"/>
        <w:rPr>
          <w:rFonts w:ascii="Times New Roman" w:hAnsi="Times New Roman" w:cs="Times New Roman"/>
          <w:sz w:val="24"/>
          <w:szCs w:val="24"/>
        </w:rPr>
      </w:pPr>
      <w:r w:rsidRPr="00FA47EF">
        <w:rPr>
          <w:rFonts w:ascii="Times New Roman" w:hAnsi="Times New Roman" w:cs="Times New Roman"/>
          <w:sz w:val="24"/>
          <w:szCs w:val="24"/>
        </w:rPr>
        <w:t xml:space="preserve">Az iparűzési adó alanya a vállalkozó, azaz a gazdasági tevékenységet saját nevében és kockázatára haszonszerzés céljából, üzletszerűen végző:  </w:t>
      </w:r>
    </w:p>
    <w:p w:rsidR="00AB058D" w:rsidRPr="00FA47EF" w:rsidRDefault="00AB058D" w:rsidP="00AB058D">
      <w:pPr>
        <w:numPr>
          <w:ilvl w:val="0"/>
          <w:numId w:val="2"/>
        </w:numPr>
        <w:spacing w:after="28"/>
        <w:ind w:right="55"/>
        <w:rPr>
          <w:rFonts w:ascii="Times New Roman" w:hAnsi="Times New Roman" w:cs="Times New Roman"/>
          <w:sz w:val="24"/>
          <w:szCs w:val="24"/>
        </w:rPr>
      </w:pPr>
      <w:r w:rsidRPr="00FA47EF">
        <w:rPr>
          <w:rFonts w:ascii="Times New Roman" w:hAnsi="Times New Roman" w:cs="Times New Roman"/>
          <w:sz w:val="24"/>
          <w:szCs w:val="24"/>
        </w:rPr>
        <w:t xml:space="preserve">a személyi jövedelemadóról szóló 1995. évi CXVII. törvény 3.§ 17. pontja által taxatíve felsorolt </w:t>
      </w:r>
      <w:r w:rsidRPr="00FA47EF">
        <w:rPr>
          <w:rFonts w:ascii="Times New Roman" w:hAnsi="Times New Roman" w:cs="Times New Roman"/>
          <w:b/>
          <w:sz w:val="24"/>
          <w:szCs w:val="24"/>
        </w:rPr>
        <w:t xml:space="preserve">egyéni  </w:t>
      </w:r>
      <w:r w:rsidRPr="00FA47EF">
        <w:rPr>
          <w:rFonts w:ascii="Times New Roman" w:hAnsi="Times New Roman" w:cs="Times New Roman"/>
          <w:b/>
          <w:sz w:val="24"/>
          <w:szCs w:val="24"/>
        </w:rPr>
        <w:tab/>
        <w:t xml:space="preserve"> </w:t>
      </w:r>
      <w:r w:rsidRPr="00FA47EF">
        <w:rPr>
          <w:rFonts w:ascii="Times New Roman" w:hAnsi="Times New Roman" w:cs="Times New Roman"/>
          <w:b/>
          <w:sz w:val="24"/>
          <w:szCs w:val="24"/>
        </w:rPr>
        <w:tab/>
        <w:t>vállalkozó</w:t>
      </w:r>
      <w:r w:rsidRPr="00FA47EF">
        <w:rPr>
          <w:rFonts w:ascii="Times New Roman" w:hAnsi="Times New Roman" w:cs="Times New Roman"/>
          <w:sz w:val="24"/>
          <w:szCs w:val="24"/>
        </w:rPr>
        <w:t xml:space="preserve">: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az egyéni vállalkozóról és az egyéni cégről szóló 2009. évi CXV. törvény szerinti egyéni vállalkozói nyilvántartásban szereplő magánszemély, az említett nyilvántartásban rögzített tevékenysége(i) tekintetében,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 </w:t>
      </w:r>
      <w:r w:rsidRPr="00FA47EF">
        <w:rPr>
          <w:rFonts w:ascii="Times New Roman" w:hAnsi="Times New Roman" w:cs="Times New Roman"/>
          <w:b/>
          <w:sz w:val="24"/>
          <w:szCs w:val="24"/>
        </w:rPr>
        <w:t xml:space="preserve">közjegyző </w:t>
      </w:r>
      <w:r w:rsidRPr="00FA47EF">
        <w:rPr>
          <w:rFonts w:ascii="Times New Roman" w:hAnsi="Times New Roman" w:cs="Times New Roman"/>
          <w:sz w:val="24"/>
          <w:szCs w:val="24"/>
        </w:rPr>
        <w:t xml:space="preserve">a közjegyzőkről szóló törvényben meghatározott tevékenysége tekintetében (kivéve, amennyiben e tevékenységét közjegyzői iroda tagjaként folytatja),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az </w:t>
      </w:r>
      <w:r w:rsidRPr="00FA47EF">
        <w:rPr>
          <w:rFonts w:ascii="Times New Roman" w:hAnsi="Times New Roman" w:cs="Times New Roman"/>
          <w:b/>
          <w:sz w:val="24"/>
          <w:szCs w:val="24"/>
        </w:rPr>
        <w:t xml:space="preserve">önálló bírósági végrehajtó </w:t>
      </w:r>
      <w:r w:rsidRPr="00FA47EF">
        <w:rPr>
          <w:rFonts w:ascii="Times New Roman" w:hAnsi="Times New Roman" w:cs="Times New Roman"/>
          <w:sz w:val="24"/>
          <w:szCs w:val="24"/>
        </w:rPr>
        <w:t xml:space="preserve">a bírósági végrehajtásról szóló törvényben meghatározott tevékenysége tekintetében (kivéve, amennyiben e tevékenységét végrehajtói iroda tagjaként folytatja),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az </w:t>
      </w:r>
      <w:r w:rsidRPr="00FA47EF">
        <w:rPr>
          <w:rFonts w:ascii="Times New Roman" w:hAnsi="Times New Roman" w:cs="Times New Roman"/>
          <w:b/>
          <w:sz w:val="24"/>
          <w:szCs w:val="24"/>
        </w:rPr>
        <w:t xml:space="preserve">egyéni szabadalmi ügyvivő </w:t>
      </w:r>
      <w:r w:rsidRPr="00FA47EF">
        <w:rPr>
          <w:rFonts w:ascii="Times New Roman" w:hAnsi="Times New Roman" w:cs="Times New Roman"/>
          <w:sz w:val="24"/>
          <w:szCs w:val="24"/>
        </w:rPr>
        <w:t xml:space="preserve">a szabadalmi ügyvivőkről szóló törvényben meghatározott tevékenysége tekintetében,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az </w:t>
      </w:r>
      <w:r w:rsidRPr="00FA47EF">
        <w:rPr>
          <w:rFonts w:ascii="Times New Roman" w:hAnsi="Times New Roman" w:cs="Times New Roman"/>
          <w:b/>
          <w:sz w:val="24"/>
          <w:szCs w:val="24"/>
        </w:rPr>
        <w:t xml:space="preserve">ügyvéd </w:t>
      </w:r>
      <w:r w:rsidRPr="00FA47EF">
        <w:rPr>
          <w:rFonts w:ascii="Times New Roman" w:hAnsi="Times New Roman" w:cs="Times New Roman"/>
          <w:sz w:val="24"/>
          <w:szCs w:val="24"/>
        </w:rPr>
        <w:t xml:space="preserve">az ügyvédekről szólótörvényben meghatározott tevékenysége tekintetében (kivéve, amennyiben e tevékenységét ügyvédi iroda tagjaként vagy alkalmazott ügyvédként folytatja),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 </w:t>
      </w:r>
      <w:r w:rsidRPr="00FA47EF">
        <w:rPr>
          <w:rFonts w:ascii="Times New Roman" w:hAnsi="Times New Roman" w:cs="Times New Roman"/>
          <w:b/>
          <w:sz w:val="24"/>
          <w:szCs w:val="24"/>
        </w:rPr>
        <w:t xml:space="preserve">magán-állatorvosi </w:t>
      </w:r>
      <w:r w:rsidRPr="00FA47EF">
        <w:rPr>
          <w:rFonts w:ascii="Times New Roman" w:hAnsi="Times New Roman" w:cs="Times New Roman"/>
          <w:sz w:val="24"/>
          <w:szCs w:val="24"/>
        </w:rPr>
        <w:t xml:space="preserve">tevékenység gyakorlására jogosító igazolvánnyal rendelkező magánszemély e tevékenysége tekintetében.  </w:t>
      </w:r>
    </w:p>
    <w:p w:rsidR="00AB058D" w:rsidRPr="00FA47EF" w:rsidRDefault="00AB058D" w:rsidP="00AB058D">
      <w:pPr>
        <w:numPr>
          <w:ilvl w:val="0"/>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 személyi jövedelemadóról szóló törvényben meghatározott </w:t>
      </w:r>
      <w:r w:rsidRPr="00FA47EF">
        <w:rPr>
          <w:rFonts w:ascii="Times New Roman" w:hAnsi="Times New Roman" w:cs="Times New Roman"/>
          <w:b/>
          <w:sz w:val="24"/>
          <w:szCs w:val="24"/>
        </w:rPr>
        <w:t>mezőgazdasági őstermelő</w:t>
      </w:r>
      <w:r w:rsidRPr="00FA47EF">
        <w:rPr>
          <w:rFonts w:ascii="Times New Roman" w:hAnsi="Times New Roman" w:cs="Times New Roman"/>
          <w:sz w:val="24"/>
          <w:szCs w:val="24"/>
        </w:rPr>
        <w:t xml:space="preserve">, feltéve, hogy </w:t>
      </w:r>
    </w:p>
    <w:p w:rsidR="003A030F" w:rsidRDefault="00AB058D" w:rsidP="00AB058D">
      <w:pPr>
        <w:ind w:left="10" w:right="542"/>
        <w:rPr>
          <w:rFonts w:ascii="Times New Roman" w:hAnsi="Times New Roman" w:cs="Times New Roman"/>
          <w:sz w:val="24"/>
          <w:szCs w:val="24"/>
        </w:rPr>
      </w:pPr>
      <w:r w:rsidRPr="00FA47EF">
        <w:rPr>
          <w:rFonts w:ascii="Times New Roman" w:hAnsi="Times New Roman" w:cs="Times New Roman"/>
          <w:sz w:val="24"/>
          <w:szCs w:val="24"/>
        </w:rPr>
        <w:t xml:space="preserve">  őstermelői tevékenységéből származó bevétele az adóévben a 600 ezer forintot meghaladta,   </w:t>
      </w:r>
    </w:p>
    <w:p w:rsidR="00AB058D" w:rsidRPr="00FA47EF" w:rsidRDefault="003A030F" w:rsidP="00AB058D">
      <w:pPr>
        <w:ind w:left="10" w:right="542"/>
        <w:rPr>
          <w:rFonts w:ascii="Times New Roman" w:hAnsi="Times New Roman" w:cs="Times New Roman"/>
          <w:sz w:val="24"/>
          <w:szCs w:val="24"/>
        </w:rPr>
      </w:pPr>
      <w:r>
        <w:rPr>
          <w:rFonts w:ascii="Times New Roman" w:hAnsi="Times New Roman" w:cs="Times New Roman"/>
          <w:sz w:val="24"/>
          <w:szCs w:val="24"/>
        </w:rPr>
        <w:t xml:space="preserve"> </w:t>
      </w:r>
      <w:r w:rsidR="00AB058D" w:rsidRPr="00FA47EF">
        <w:rPr>
          <w:rFonts w:ascii="Times New Roman" w:hAnsi="Times New Roman" w:cs="Times New Roman"/>
          <w:sz w:val="24"/>
          <w:szCs w:val="24"/>
        </w:rPr>
        <w:t xml:space="preserve">c) a </w:t>
      </w:r>
      <w:r w:rsidR="00AB058D" w:rsidRPr="00FA47EF">
        <w:rPr>
          <w:rFonts w:ascii="Times New Roman" w:hAnsi="Times New Roman" w:cs="Times New Roman"/>
          <w:b/>
          <w:sz w:val="24"/>
          <w:szCs w:val="24"/>
        </w:rPr>
        <w:t>jogi személy</w:t>
      </w:r>
      <w:r w:rsidR="00AB058D" w:rsidRPr="00FA47EF">
        <w:rPr>
          <w:rFonts w:ascii="Times New Roman" w:hAnsi="Times New Roman" w:cs="Times New Roman"/>
          <w:sz w:val="24"/>
          <w:szCs w:val="24"/>
        </w:rPr>
        <w:t xml:space="preserve">, ideértve </w:t>
      </w:r>
      <w:r w:rsidR="00AB058D" w:rsidRPr="00FA47EF">
        <w:rPr>
          <w:rFonts w:ascii="Times New Roman" w:hAnsi="Times New Roman" w:cs="Times New Roman"/>
          <w:b/>
          <w:sz w:val="24"/>
          <w:szCs w:val="24"/>
        </w:rPr>
        <w:t xml:space="preserve">a felszámolás vagy végelszámolás alatt lévő jogi személyt </w:t>
      </w:r>
      <w:r w:rsidR="00AB058D" w:rsidRPr="00FA47EF">
        <w:rPr>
          <w:rFonts w:ascii="Times New Roman" w:hAnsi="Times New Roman" w:cs="Times New Roman"/>
          <w:sz w:val="24"/>
          <w:szCs w:val="24"/>
        </w:rPr>
        <w:t xml:space="preserve">is,  </w:t>
      </w:r>
    </w:p>
    <w:p w:rsidR="00AB058D" w:rsidRPr="00FA47EF" w:rsidRDefault="00AB058D" w:rsidP="00AB058D">
      <w:pPr>
        <w:spacing w:after="14" w:line="248" w:lineRule="auto"/>
        <w:ind w:left="10" w:right="49"/>
        <w:rPr>
          <w:rFonts w:ascii="Times New Roman" w:hAnsi="Times New Roman" w:cs="Times New Roman"/>
          <w:sz w:val="24"/>
          <w:szCs w:val="24"/>
        </w:rPr>
      </w:pPr>
      <w:r w:rsidRPr="00FA47EF">
        <w:rPr>
          <w:rFonts w:ascii="Times New Roman" w:hAnsi="Times New Roman" w:cs="Times New Roman"/>
          <w:sz w:val="24"/>
          <w:szCs w:val="24"/>
        </w:rPr>
        <w:t xml:space="preserve"> d) </w:t>
      </w:r>
      <w:r w:rsidRPr="00FA47EF">
        <w:rPr>
          <w:rFonts w:ascii="Times New Roman" w:hAnsi="Times New Roman" w:cs="Times New Roman"/>
          <w:b/>
          <w:sz w:val="24"/>
          <w:szCs w:val="24"/>
        </w:rPr>
        <w:t>az</w:t>
      </w:r>
      <w:r w:rsidRPr="00FA47EF">
        <w:rPr>
          <w:rFonts w:ascii="Times New Roman" w:hAnsi="Times New Roman" w:cs="Times New Roman"/>
          <w:sz w:val="24"/>
          <w:szCs w:val="24"/>
        </w:rPr>
        <w:t xml:space="preserve"> </w:t>
      </w:r>
      <w:r w:rsidRPr="00FA47EF">
        <w:rPr>
          <w:rFonts w:ascii="Times New Roman" w:hAnsi="Times New Roman" w:cs="Times New Roman"/>
          <w:b/>
          <w:sz w:val="24"/>
          <w:szCs w:val="24"/>
        </w:rPr>
        <w:t>egyéni cég</w:t>
      </w:r>
      <w:r w:rsidRPr="00FA47EF">
        <w:rPr>
          <w:rFonts w:ascii="Times New Roman" w:hAnsi="Times New Roman" w:cs="Times New Roman"/>
          <w:sz w:val="24"/>
          <w:szCs w:val="24"/>
        </w:rPr>
        <w:t xml:space="preserve">, </w:t>
      </w:r>
      <w:r w:rsidRPr="00FA47EF">
        <w:rPr>
          <w:rFonts w:ascii="Times New Roman" w:hAnsi="Times New Roman" w:cs="Times New Roman"/>
          <w:b/>
          <w:sz w:val="24"/>
          <w:szCs w:val="24"/>
        </w:rPr>
        <w:t>egyéb szervezet</w:t>
      </w:r>
      <w:r w:rsidRPr="00FA47EF">
        <w:rPr>
          <w:rFonts w:ascii="Times New Roman" w:hAnsi="Times New Roman" w:cs="Times New Roman"/>
          <w:sz w:val="24"/>
          <w:szCs w:val="24"/>
        </w:rPr>
        <w:t xml:space="preserve">, ideértve azt is, ha azok </w:t>
      </w:r>
      <w:r w:rsidRPr="00FA47EF">
        <w:rPr>
          <w:rFonts w:ascii="Times New Roman" w:hAnsi="Times New Roman" w:cs="Times New Roman"/>
          <w:b/>
          <w:sz w:val="24"/>
          <w:szCs w:val="24"/>
        </w:rPr>
        <w:t>felszámolás vagy végelszámolás alatt   állnak</w:t>
      </w:r>
      <w:r w:rsidRPr="00FA47EF">
        <w:rPr>
          <w:rFonts w:ascii="Times New Roman" w:hAnsi="Times New Roman" w:cs="Times New Roman"/>
          <w:sz w:val="24"/>
          <w:szCs w:val="24"/>
        </w:rPr>
        <w:t xml:space="preserve">. </w:t>
      </w:r>
    </w:p>
    <w:p w:rsidR="00AB058D" w:rsidRPr="00FA47EF" w:rsidRDefault="00AB058D" w:rsidP="00AB058D">
      <w:pPr>
        <w:ind w:left="10" w:right="55"/>
        <w:rPr>
          <w:rFonts w:ascii="Times New Roman" w:hAnsi="Times New Roman" w:cs="Times New Roman"/>
          <w:sz w:val="24"/>
          <w:szCs w:val="24"/>
        </w:rPr>
      </w:pPr>
      <w:r w:rsidRPr="00FA47EF">
        <w:rPr>
          <w:rFonts w:ascii="Times New Roman" w:hAnsi="Times New Roman" w:cs="Times New Roman"/>
          <w:sz w:val="24"/>
          <w:szCs w:val="24"/>
        </w:rPr>
        <w:lastRenderedPageBreak/>
        <w:t xml:space="preserve">A 2017. adóévről szóló bevallás alapszerkezete főlapból és betétlapokból áll.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 főlap tartalmazza – többek között – a bevallás jellegét, a bevallott időszakot, a záró bevallás benyújtásának okát, az adóalany azonosító adatait, az alkalmazott adóalap-megosztás módszerét és a vállalkozási szintű adóalap meghatározásából kiindulva a települési iparűzési adóalap meghatározásán keresztül az adott településen fennálló fizetési kötelezettség kiszámítását, illetve az adóelőleg bevallását.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Az „A”, „B”, „C”, „D” betétlapok a sajátos nettó árbevétel-fogalmat alkalmazó vállalkozások nettó árbevételének levezetését,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az „E1”, „E2” betétlapok az ELÁBÉ és a közvetített szolgáltatásokat, az 500 millió Ft-ot meghaladó árbevételű adóalanyok adómegállapításához szükséges adatokat, valamint a kapcsolt vállalkozások vállalkozási szintű adóalapjának megállapításához szükséges adatokat tartalmazza,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az „F” betétlap a vállalkozási szintű adóalap települési önkormányzatok közötti megosztásának levezetésére szolgál. Az iparűzési adó helyi adó jellegéből következik az a sajátosság, hogy az adóalanynak több településen is fennállhat adókötelezettsége, így az annak részelemét képező adóbevallás-benyújtási kötelezettsége is.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 „G” betétlap az esetleges adótúlfizetés visszaigényléséhez szükséges.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 „H” betétlap pedig egy korábban benyújtott adóbevallás önellenőrzéssel történő helyesbítésére szolgál.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Az „I1”, „I2”, „I3”, „I4”, „I5”, „I6” jelű betétlapok az éves beszámolóját az IFRS-ek alapján készítő vállalkozó nettó árbevételének, és árbevételt csökkentő tételeinek részletezésére szolgál.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 „J” jelű betétlap a közös őstermelői igazolvánnyal rendelkező adóalanyok és családi gazdaság adóalany tagjainak nyilatkozatára szolgál. Csak akkor válik aktívvá, ha a betétlapoknál a „J” jelű ki van jelölve, valamint a bevallás jellege: 8. (Htv. 41. § (8) bek.) </w:t>
      </w:r>
    </w:p>
    <w:p w:rsidR="00AB058D" w:rsidRPr="00FA47EF" w:rsidRDefault="00AB058D" w:rsidP="00AB058D">
      <w:pPr>
        <w:spacing w:after="204" w:line="259" w:lineRule="auto"/>
        <w:ind w:left="15" w:right="0" w:firstLine="0"/>
        <w:jc w:val="left"/>
        <w:rPr>
          <w:rFonts w:ascii="Times New Roman" w:hAnsi="Times New Roman" w:cs="Times New Roman"/>
          <w:sz w:val="24"/>
          <w:szCs w:val="24"/>
        </w:rPr>
      </w:pPr>
      <w:r w:rsidRPr="00FA47EF">
        <w:rPr>
          <w:rFonts w:ascii="Times New Roman" w:hAnsi="Times New Roman" w:cs="Times New Roman"/>
          <w:sz w:val="24"/>
          <w:szCs w:val="24"/>
        </w:rPr>
        <w:t xml:space="preserve"> </w:t>
      </w:r>
    </w:p>
    <w:p w:rsidR="00AB058D" w:rsidRPr="00FA47EF" w:rsidRDefault="00AB058D" w:rsidP="00AB058D">
      <w:pPr>
        <w:spacing w:after="87" w:line="259" w:lineRule="auto"/>
        <w:ind w:left="10" w:right="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BEVALLÁS KITÖLTÉSE</w:t>
      </w:r>
      <w:r w:rsidRPr="00FA47EF">
        <w:rPr>
          <w:rFonts w:ascii="Times New Roman" w:hAnsi="Times New Roman" w:cs="Times New Roman"/>
          <w:sz w:val="24"/>
          <w:szCs w:val="24"/>
        </w:rPr>
        <w:t xml:space="preserve"> </w:t>
      </w:r>
    </w:p>
    <w:p w:rsidR="00967E7C" w:rsidRDefault="00967E7C" w:rsidP="00AB058D">
      <w:pPr>
        <w:ind w:left="10" w:right="55"/>
        <w:rPr>
          <w:rFonts w:ascii="Times New Roman" w:hAnsi="Times New Roman" w:cs="Times New Roman"/>
          <w:sz w:val="24"/>
          <w:szCs w:val="24"/>
        </w:rPr>
      </w:pPr>
    </w:p>
    <w:p w:rsidR="00AB058D" w:rsidRPr="00FA47EF" w:rsidRDefault="00AB058D" w:rsidP="00AB058D">
      <w:pPr>
        <w:ind w:left="10" w:right="55"/>
        <w:rPr>
          <w:rFonts w:ascii="Times New Roman" w:hAnsi="Times New Roman" w:cs="Times New Roman"/>
          <w:sz w:val="24"/>
          <w:szCs w:val="24"/>
        </w:rPr>
      </w:pPr>
      <w:bookmarkStart w:id="0" w:name="_GoBack"/>
      <w:bookmarkEnd w:id="0"/>
      <w:r w:rsidRPr="00FA47EF">
        <w:rPr>
          <w:rFonts w:ascii="Times New Roman" w:hAnsi="Times New Roman" w:cs="Times New Roman"/>
          <w:sz w:val="24"/>
          <w:szCs w:val="24"/>
        </w:rPr>
        <w:t>Cs</w:t>
      </w:r>
      <w:r w:rsidR="00E93995">
        <w:rPr>
          <w:rFonts w:ascii="Times New Roman" w:hAnsi="Times New Roman" w:cs="Times New Roman"/>
          <w:sz w:val="24"/>
          <w:szCs w:val="24"/>
        </w:rPr>
        <w:t>ér</w:t>
      </w:r>
      <w:r w:rsidRPr="00FA47EF">
        <w:rPr>
          <w:rFonts w:ascii="Times New Roman" w:hAnsi="Times New Roman" w:cs="Times New Roman"/>
          <w:sz w:val="24"/>
          <w:szCs w:val="24"/>
        </w:rPr>
        <w:t xml:space="preserve"> Községi Önkormányzathoz benyújtandó elektronikusan kitölthető nyomtatványok használatához a NAV portáljáról letöltött és saját számítógépére telepített Általános nyomtatványkitöltő (ÁNYK) – korábbi nevén AbevJava – keretprogram segítségével tölthető ki. A kitöltő program telepítéséhez szükséges információk az alábbi linken érhetőek el:  http://www.nav.gov.hu/nav/ebevallas/abevjava/javakitolto.html  A nyomtatványok kitöltéséhez segítséget nyújt az alábbi linken található eTananyag:   </w:t>
      </w:r>
    </w:p>
    <w:p w:rsidR="00AB058D" w:rsidRPr="00FA47EF" w:rsidRDefault="00E17235" w:rsidP="00AB058D">
      <w:pPr>
        <w:ind w:left="10" w:right="55"/>
        <w:rPr>
          <w:rFonts w:ascii="Times New Roman" w:hAnsi="Times New Roman" w:cs="Times New Roman"/>
          <w:sz w:val="24"/>
          <w:szCs w:val="24"/>
        </w:rPr>
      </w:pPr>
      <w:hyperlink r:id="rId8" w:history="1">
        <w:r w:rsidR="00AB058D" w:rsidRPr="00FA47EF">
          <w:rPr>
            <w:rFonts w:ascii="Times New Roman" w:hAnsi="Times New Roman" w:cs="Times New Roman"/>
            <w:color w:val="0563C1" w:themeColor="hyperlink"/>
            <w:sz w:val="24"/>
            <w:szCs w:val="24"/>
            <w:u w:val="single"/>
          </w:rPr>
          <w:t>https://segitseg.magyarorszag.hu/etananyag/nyomtatvanykitoltes.html</w:t>
        </w:r>
      </w:hyperlink>
      <w:hyperlink r:id="rId9">
        <w:r w:rsidR="00AB058D" w:rsidRPr="00FA47EF">
          <w:rPr>
            <w:rFonts w:ascii="Times New Roman" w:hAnsi="Times New Roman" w:cs="Times New Roman"/>
            <w:b/>
            <w:sz w:val="24"/>
            <w:szCs w:val="24"/>
          </w:rPr>
          <w:t xml:space="preserve"> </w:t>
        </w:r>
      </w:hyperlink>
    </w:p>
    <w:p w:rsidR="00AB058D" w:rsidRPr="00FA47EF" w:rsidRDefault="00AB058D" w:rsidP="00AB058D">
      <w:pPr>
        <w:spacing w:after="14" w:line="248" w:lineRule="auto"/>
        <w:ind w:left="10" w:right="49"/>
        <w:rPr>
          <w:rFonts w:ascii="Times New Roman" w:hAnsi="Times New Roman" w:cs="Times New Roman"/>
          <w:b/>
          <w:sz w:val="24"/>
          <w:szCs w:val="24"/>
        </w:rPr>
      </w:pPr>
    </w:p>
    <w:p w:rsidR="00AB058D" w:rsidRDefault="00AB058D" w:rsidP="00AB058D">
      <w:pPr>
        <w:spacing w:after="14" w:line="248" w:lineRule="auto"/>
        <w:ind w:left="10" w:right="49"/>
        <w:rPr>
          <w:rStyle w:val="Hiperhivatkozs"/>
          <w:rFonts w:ascii="Times New Roman" w:hAnsi="Times New Roman" w:cs="Times New Roman"/>
          <w:b/>
          <w:sz w:val="24"/>
          <w:szCs w:val="24"/>
        </w:rPr>
      </w:pPr>
      <w:r w:rsidRPr="00FA47EF">
        <w:rPr>
          <w:rFonts w:ascii="Times New Roman" w:hAnsi="Times New Roman" w:cs="Times New Roman"/>
          <w:b/>
          <w:sz w:val="24"/>
          <w:szCs w:val="24"/>
        </w:rPr>
        <w:t xml:space="preserve">A kitöltött nyomtatvány ügyfélkapus regisztrációval rendelkező adózók számára elektronikus úton is beküldhető: </w:t>
      </w:r>
    </w:p>
    <w:p w:rsidR="00901182" w:rsidRDefault="00E17235" w:rsidP="00901182">
      <w:pPr>
        <w:spacing w:after="14"/>
        <w:ind w:left="10" w:right="49"/>
        <w:rPr>
          <w:rFonts w:ascii="Times New Roman" w:hAnsi="Times New Roman" w:cs="Times New Roman"/>
          <w:b/>
          <w:sz w:val="24"/>
          <w:szCs w:val="24"/>
        </w:rPr>
      </w:pPr>
      <w:hyperlink r:id="rId10" w:history="1">
        <w:r w:rsidR="00901182">
          <w:rPr>
            <w:rStyle w:val="Hiperhivatkozs"/>
            <w:rFonts w:ascii="Times New Roman" w:hAnsi="Times New Roman" w:cs="Times New Roman"/>
            <w:b/>
            <w:sz w:val="24"/>
            <w:szCs w:val="24"/>
          </w:rPr>
          <w:t>https://ohp-20.asp.lgov.hu/kereses</w:t>
        </w:r>
      </w:hyperlink>
    </w:p>
    <w:p w:rsidR="00901182" w:rsidRDefault="00901182" w:rsidP="00AB058D">
      <w:pPr>
        <w:spacing w:after="14" w:line="248" w:lineRule="auto"/>
        <w:ind w:left="10" w:right="49"/>
        <w:rPr>
          <w:rFonts w:ascii="Times New Roman" w:hAnsi="Times New Roman" w:cs="Times New Roman"/>
          <w:b/>
          <w:sz w:val="24"/>
          <w:szCs w:val="24"/>
        </w:rPr>
      </w:pPr>
    </w:p>
    <w:p w:rsidR="00E93995" w:rsidRPr="00FA47EF" w:rsidRDefault="00E93995" w:rsidP="00AB058D">
      <w:pPr>
        <w:spacing w:after="14" w:line="248" w:lineRule="auto"/>
        <w:ind w:left="10" w:right="49"/>
        <w:rPr>
          <w:rFonts w:ascii="Times New Roman" w:hAnsi="Times New Roman" w:cs="Times New Roman"/>
          <w:b/>
          <w:sz w:val="24"/>
          <w:szCs w:val="24"/>
        </w:rPr>
      </w:pPr>
    </w:p>
    <w:p w:rsidR="0078364E" w:rsidRDefault="0078364E" w:rsidP="00AB058D">
      <w:pPr>
        <w:spacing w:after="14" w:line="248" w:lineRule="auto"/>
        <w:ind w:left="10" w:right="49"/>
        <w:rPr>
          <w:rFonts w:ascii="Times New Roman" w:hAnsi="Times New Roman" w:cs="Times New Roman"/>
          <w:sz w:val="24"/>
          <w:szCs w:val="24"/>
        </w:rPr>
      </w:pPr>
    </w:p>
    <w:p w:rsidR="00AB058D" w:rsidRDefault="00AB058D" w:rsidP="00AB058D">
      <w:pPr>
        <w:spacing w:after="14" w:line="248" w:lineRule="auto"/>
        <w:ind w:left="10" w:right="49"/>
        <w:rPr>
          <w:rFonts w:ascii="Times New Roman" w:hAnsi="Times New Roman" w:cs="Times New Roman"/>
          <w:sz w:val="24"/>
          <w:szCs w:val="24"/>
        </w:rPr>
      </w:pPr>
    </w:p>
    <w:p w:rsidR="00AB058D" w:rsidRPr="00AB058D" w:rsidRDefault="00AB058D" w:rsidP="003A030F">
      <w:pPr>
        <w:keepNext/>
        <w:keepLines/>
        <w:spacing w:after="203" w:line="270" w:lineRule="auto"/>
        <w:ind w:left="-5" w:right="0"/>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A BEVALLÁSI NYOMTATVÁNY EGYES SORAI</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 bevallás jellege</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Art. többféle esetben ír elő bevallás-benyújtási kötelezettséget. A bevallási nyomtatvány egyes (1 - 13.) pontjaiban a bevallás jellegét kell megjelölni.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ÉVES BEVALLÁS </w:t>
      </w:r>
      <w:r w:rsidRPr="00AB058D">
        <w:rPr>
          <w:rFonts w:ascii="Times New Roman" w:eastAsia="Times New Roman" w:hAnsi="Times New Roman" w:cs="Times New Roman"/>
          <w:color w:val="1A171C"/>
          <w:sz w:val="24"/>
        </w:rPr>
        <w:t xml:space="preserve">melletti négyzetbe X-et kell tenni, ha a vállalkozást a (teljes) 2018. adóévben iparűzési adókötelezettség terhelte, </w:t>
      </w:r>
      <w:r w:rsidRPr="00AB058D">
        <w:rPr>
          <w:rFonts w:ascii="Times New Roman" w:eastAsia="Times New Roman" w:hAnsi="Times New Roman" w:cs="Times New Roman"/>
          <w:b/>
          <w:color w:val="1A171C"/>
          <w:sz w:val="24"/>
        </w:rPr>
        <w:t xml:space="preserve">továbbá </w:t>
      </w:r>
      <w:r w:rsidRPr="00AB058D">
        <w:rPr>
          <w:rFonts w:ascii="Times New Roman" w:eastAsia="Times New Roman" w:hAnsi="Times New Roman" w:cs="Times New Roman"/>
          <w:color w:val="1A171C"/>
          <w:sz w:val="24"/>
        </w:rPr>
        <w:t xml:space="preserve">akkor is, ha az iparűzési adókötelezettség a 2018. adóév közben keletkezett (év közben vezette be az adót az önkormányzat vagy az adózó év közben kezdte tevékenységét) </w:t>
      </w:r>
      <w:r w:rsidRPr="00AB058D">
        <w:rPr>
          <w:rFonts w:ascii="Times New Roman" w:eastAsia="Times New Roman" w:hAnsi="Times New Roman" w:cs="Times New Roman"/>
          <w:b/>
          <w:color w:val="1A171C"/>
          <w:sz w:val="24"/>
        </w:rPr>
        <w:t>és az adókötelezettség fennállt 2018. december 31-én is</w:t>
      </w:r>
      <w:r w:rsidRPr="00AB058D">
        <w:rPr>
          <w:rFonts w:ascii="Times New Roman" w:eastAsia="Times New Roman" w:hAnsi="Times New Roman" w:cs="Times New Roman"/>
          <w:color w:val="1A171C"/>
          <w:sz w:val="24"/>
        </w:rPr>
        <w:t xml:space="preserve">. Ha teljes évben fennállt az adókötelezettség, akkor a II. pontban a „Bevallott időszak" sorban 2018. január 1. naptól 2018. december 31-ig terjedő időszakot kell </w:t>
      </w:r>
      <w:r w:rsidRPr="00AB058D">
        <w:rPr>
          <w:rFonts w:ascii="Times New Roman" w:eastAsia="Times New Roman" w:hAnsi="Times New Roman" w:cs="Times New Roman"/>
          <w:color w:val="1A171C"/>
          <w:sz w:val="24"/>
        </w:rPr>
        <w:lastRenderedPageBreak/>
        <w:t xml:space="preserve">beírni, ha az adókötelezettség év közben keletkezett, akkor az adókötelezettség kezdő napjától 2018. december 31-ig terjedő időszakot kell beírni. Például: ha a vállalkozás 2018. április 1-én létesített a településen telephelyet (vagy keletkezett telephelye), vagy az adót az önkormányzat ettől az időponttól kezdődően vezette be, akkor a bevallási időszak 2018. április 1-től 2018. december 31-ig tart. Év közben kezdő vállalkozó esetén az I. 5. pontban is jelölni kell e tényt. </w:t>
      </w:r>
      <w:r w:rsidRPr="00AB058D">
        <w:rPr>
          <w:rFonts w:ascii="Times New Roman" w:eastAsia="Times New Roman" w:hAnsi="Times New Roman" w:cs="Times New Roman"/>
          <w:b/>
          <w:color w:val="1A171C"/>
          <w:sz w:val="24"/>
        </w:rPr>
        <w:t xml:space="preserve">A bevallást – a Htv. 39/B. § (3) bekezdése szerinti egyszerűsített adóalap-megállapítást alkalmazó kata-alany kivételével – az adóév utolsó napját követő ötödik hónap utolsó napjáig, így </w:t>
      </w:r>
      <w:r w:rsidRPr="00AB058D">
        <w:rPr>
          <w:rFonts w:ascii="Times New Roman" w:eastAsia="Times New Roman" w:hAnsi="Times New Roman" w:cs="Times New Roman"/>
          <w:color w:val="1A171C"/>
          <w:sz w:val="24"/>
        </w:rPr>
        <w:t xml:space="preserve">a naptári évvel azonos üzleti éves adózónak </w:t>
      </w:r>
      <w:r w:rsidRPr="00AB058D">
        <w:rPr>
          <w:rFonts w:ascii="Times New Roman" w:eastAsia="Times New Roman" w:hAnsi="Times New Roman" w:cs="Times New Roman"/>
          <w:b/>
          <w:color w:val="1A171C"/>
          <w:sz w:val="24"/>
        </w:rPr>
        <w:t>május 31-éig kell benyújtani!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Azon adózóknál, amelyek a számvitelről szóló 2000. évi C. törvény (a továbbiakban: számviteli törvény) alapján a naptári évtől eltérő üzleti évet választották, szintén az adóév utolsó napját követő ötödik hónap utolsó napjáig 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r w:rsidRPr="00AB058D">
        <w:rPr>
          <w:rFonts w:ascii="Times New Roman" w:eastAsia="Times New Roman" w:hAnsi="Times New Roman" w:cs="Times New Roman"/>
          <w:sz w:val="24"/>
        </w:rPr>
        <w:t xml:space="preserve"> </w:t>
      </w:r>
    </w:p>
    <w:p w:rsidR="00AB058D" w:rsidRPr="00AB058D" w:rsidRDefault="00AB058D" w:rsidP="00AB058D">
      <w:pPr>
        <w:numPr>
          <w:ilvl w:val="0"/>
          <w:numId w:val="4"/>
        </w:numPr>
        <w:spacing w:after="8"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„ZÁRÓ" BEVALLÁS </w:t>
      </w:r>
      <w:r w:rsidRPr="00AB058D">
        <w:rPr>
          <w:rFonts w:ascii="Times New Roman" w:eastAsia="Times New Roman" w:hAnsi="Times New Roman" w:cs="Times New Roman"/>
          <w:color w:val="1A171C"/>
          <w:sz w:val="24"/>
        </w:rPr>
        <w:t xml:space="preserve">alatt érteni kell az Art. 52. § (1)-(2), illetve az 53. §-ban foglalt eseteket, valamint a helyi adó specifikumából adódóan csak az adott település szintjén megszűnő adókötelezettség eseteit és az egyszerűsített adóalap-megállapítás változása miatti sajátos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9.-16. pontok szerinti esetekben. A záró bevallás benyújtásának okát a III. pontban, a megfelelő rubrikában kell jelölni. A II. pontban meg kell jelölni azt az időszakot, amelyre a bevallás vonatkozik. </w:t>
      </w:r>
      <w:r w:rsidRPr="00AB058D">
        <w:rPr>
          <w:rFonts w:ascii="Times New Roman" w:eastAsia="Times New Roman" w:hAnsi="Times New Roman" w:cs="Times New Roman"/>
          <w:b/>
          <w:color w:val="1A171C"/>
          <w:sz w:val="24"/>
        </w:rPr>
        <w:t xml:space="preserve">A bevallás benyújtásának időpontjára az Art. 52. § (2) bekezdésében és 53. §-ában foglaltak, illetve az Art. 2. melléklet II/A/1/a) pontban rögzített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„általános" szabály </w:t>
      </w:r>
      <w:r w:rsidRPr="00AB058D">
        <w:rPr>
          <w:rFonts w:ascii="Times New Roman" w:eastAsia="Times New Roman" w:hAnsi="Times New Roman" w:cs="Times New Roman"/>
          <w:color w:val="1A171C"/>
          <w:sz w:val="24"/>
        </w:rPr>
        <w:t xml:space="preserve">(adóév utolsó napját követő ötödik hónap utolsó napja), valamint a Htv. 39/A. §-ban és a 39/B. §-ban foglalt szabályok </w:t>
      </w:r>
      <w:r w:rsidRPr="00AB058D">
        <w:rPr>
          <w:rFonts w:ascii="Times New Roman" w:eastAsia="Times New Roman" w:hAnsi="Times New Roman" w:cs="Times New Roman"/>
          <w:b/>
          <w:color w:val="1A171C"/>
          <w:sz w:val="24"/>
        </w:rPr>
        <w:t>az irányadóak.</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Abban az esetben</w:t>
      </w:r>
      <w:r w:rsidRPr="00AB058D">
        <w:rPr>
          <w:rFonts w:ascii="Times New Roman" w:eastAsia="Times New Roman" w:hAnsi="Times New Roman" w:cs="Times New Roman"/>
          <w:color w:val="1A171C"/>
          <w:sz w:val="24"/>
        </w:rPr>
        <w:t xml:space="preserve">, ha az adózó adókötelezettsége egy adott önkormányzat illetékességi területén azért szűnik meg, mert székhelyét más településre áthelyezi vagy telephelyét megszünteti, </w:t>
      </w:r>
      <w:r w:rsidRPr="00AB058D">
        <w:rPr>
          <w:rFonts w:ascii="Times New Roman" w:eastAsia="Times New Roman" w:hAnsi="Times New Roman" w:cs="Times New Roman"/>
          <w:b/>
          <w:color w:val="1A171C"/>
          <w:sz w:val="24"/>
        </w:rPr>
        <w:t xml:space="preserve">de más település(ek)en az adókötelezettség továbbra is fennáll, </w:t>
      </w:r>
      <w:r w:rsidRPr="00AB058D">
        <w:rPr>
          <w:rFonts w:ascii="Times New Roman" w:eastAsia="Times New Roman" w:hAnsi="Times New Roman" w:cs="Times New Roman"/>
          <w:color w:val="1A171C"/>
          <w:sz w:val="24"/>
        </w:rPr>
        <w:t xml:space="preserve">akkor az adóévben fennálló adókötelezettség időtartamáról szóló bevallást csak az adóév utolsó napját követő ötödik hónap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AB058D">
        <w:rPr>
          <w:rFonts w:ascii="Times New Roman" w:eastAsia="Times New Roman" w:hAnsi="Times New Roman" w:cs="Times New Roman"/>
          <w:b/>
          <w:color w:val="1A171C"/>
          <w:sz w:val="24"/>
        </w:rPr>
        <w:t xml:space="preserve">is egyaránt X-et kell </w:t>
      </w:r>
      <w:r w:rsidRPr="00AB058D">
        <w:rPr>
          <w:rFonts w:ascii="Times New Roman" w:eastAsia="Times New Roman" w:hAnsi="Times New Roman" w:cs="Times New Roman"/>
          <w:color w:val="1A171C"/>
          <w:sz w:val="24"/>
        </w:rPr>
        <w:t xml:space="preserve">tenni, a II. pontban pedig az adóévben a településen fennálló adókötelezettség </w:t>
      </w:r>
      <w:r w:rsidRPr="00AB058D">
        <w:rPr>
          <w:rFonts w:ascii="Times New Roman" w:eastAsia="Times New Roman" w:hAnsi="Times New Roman" w:cs="Times New Roman"/>
          <w:b/>
          <w:color w:val="1A171C"/>
          <w:sz w:val="24"/>
        </w:rPr>
        <w:t>időtartamát is meg kell jelölni</w:t>
      </w:r>
      <w:r w:rsidRPr="00AB058D">
        <w:rPr>
          <w:rFonts w:ascii="Times New Roman" w:eastAsia="Times New Roman" w:hAnsi="Times New Roman" w:cs="Times New Roman"/>
          <w:color w:val="1A171C"/>
          <w:sz w:val="24"/>
        </w:rPr>
        <w:t>. A III. pont alatt pedig külön kell jelezni a székhelyáthelyezés (III. 9. pont), telephely-megszüntetés (III. 10. pont) tényét.</w:t>
      </w:r>
      <w:r w:rsidRPr="00AB058D">
        <w:rPr>
          <w:rFonts w:ascii="Times New Roman" w:eastAsia="Times New Roman" w:hAnsi="Times New Roman" w:cs="Times New Roman"/>
          <w:sz w:val="24"/>
        </w:rPr>
        <w:t xml:space="preserve"> </w:t>
      </w:r>
    </w:p>
    <w:p w:rsidR="00AB058D" w:rsidRPr="00AB058D" w:rsidRDefault="00AB058D" w:rsidP="00AB058D">
      <w:pPr>
        <w:spacing w:after="162"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Annak a vállalkozónak, aki </w:t>
      </w:r>
      <w:r w:rsidRPr="00AB058D">
        <w:rPr>
          <w:rFonts w:ascii="Times New Roman" w:eastAsia="Times New Roman" w:hAnsi="Times New Roman" w:cs="Times New Roman"/>
          <w:b/>
          <w:color w:val="1A171C"/>
          <w:sz w:val="24"/>
        </w:rPr>
        <w:t xml:space="preserve">az egyszerűsített vállalkozói adó (eva) alanya </w:t>
      </w:r>
      <w:r w:rsidRPr="00AB058D">
        <w:rPr>
          <w:rFonts w:ascii="Times New Roman" w:eastAsia="Times New Roman" w:hAnsi="Times New Roman" w:cs="Times New Roman"/>
          <w:color w:val="1A171C"/>
          <w:sz w:val="24"/>
        </w:rPr>
        <w:t xml:space="preserve">és az iparűzési adóban </w:t>
      </w:r>
      <w:r w:rsidRPr="00AB058D">
        <w:rPr>
          <w:rFonts w:ascii="Times New Roman" w:eastAsia="Times New Roman" w:hAnsi="Times New Roman" w:cs="Times New Roman"/>
          <w:b/>
          <w:color w:val="1A171C"/>
          <w:sz w:val="24"/>
        </w:rPr>
        <w:t>az evaalanyokra vonatkozó egyszerűsített adóalap megállapítást választotta</w:t>
      </w:r>
      <w:r w:rsidRPr="00AB058D">
        <w:rPr>
          <w:rFonts w:ascii="Times New Roman" w:eastAsia="Times New Roman" w:hAnsi="Times New Roman" w:cs="Times New Roman"/>
          <w:color w:val="1A171C"/>
          <w:sz w:val="24"/>
        </w:rPr>
        <w:t>, de év közben az eva alanyisága megszűnt, az adóév első napjától az eva-alanyiság utolsó napjáig terjedő időszakról (melyet jelölni kell a II. pontban) évközi bevallást kell benyújtania az eva bevallás benyújtásával egyidejűleg. Ilyen esetben - ha az iparűzési adóalanyiság egyébként nem szűnik meg - a I. 1. sor és 2. sor melletti négyzetbe, továbbá a III. 11. sor melletti négyzetbe is X-et kell tenni.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Ha a vállalkozó év közben válik </w:t>
      </w:r>
      <w:r w:rsidRPr="00AB058D">
        <w:rPr>
          <w:rFonts w:ascii="Times New Roman" w:eastAsia="Times New Roman" w:hAnsi="Times New Roman" w:cs="Times New Roman"/>
          <w:b/>
          <w:color w:val="1A171C"/>
          <w:sz w:val="24"/>
        </w:rPr>
        <w:t xml:space="preserve">a kisadózó vállalkozók tételes adójának (kata) alanyává és </w:t>
      </w:r>
      <w:r w:rsidRPr="00AB058D">
        <w:rPr>
          <w:rFonts w:ascii="Times New Roman" w:eastAsia="Times New Roman" w:hAnsi="Times New Roman" w:cs="Times New Roman"/>
          <w:color w:val="1A171C"/>
          <w:sz w:val="24"/>
        </w:rPr>
        <w:t xml:space="preserve">az iparűzési adóban </w:t>
      </w:r>
      <w:r w:rsidRPr="00AB058D">
        <w:rPr>
          <w:rFonts w:ascii="Times New Roman" w:eastAsia="Times New Roman" w:hAnsi="Times New Roman" w:cs="Times New Roman"/>
          <w:b/>
          <w:color w:val="1A171C"/>
          <w:sz w:val="24"/>
        </w:rPr>
        <w:t>a tételes adóalap szerinti megállapítást választja</w:t>
      </w:r>
      <w:r w:rsidRPr="00AB058D">
        <w:rPr>
          <w:rFonts w:ascii="Times New Roman" w:eastAsia="Times New Roman" w:hAnsi="Times New Roman" w:cs="Times New Roman"/>
          <w:color w:val="1A171C"/>
          <w:sz w:val="24"/>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13. sorban kell a záró bevallás benyújtásának okát jelölni.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Ha </w:t>
      </w:r>
      <w:r w:rsidRPr="00AB058D">
        <w:rPr>
          <w:rFonts w:ascii="Times New Roman" w:eastAsia="Times New Roman" w:hAnsi="Times New Roman" w:cs="Times New Roman"/>
          <w:b/>
          <w:color w:val="1A171C"/>
          <w:sz w:val="24"/>
        </w:rPr>
        <w:t xml:space="preserve">a kisvállalati adó (kiva) alanyának </w:t>
      </w:r>
      <w:r w:rsidRPr="00AB058D">
        <w:rPr>
          <w:rFonts w:ascii="Times New Roman" w:eastAsia="Times New Roman" w:hAnsi="Times New Roman" w:cs="Times New Roman"/>
          <w:color w:val="1A171C"/>
          <w:sz w:val="24"/>
        </w:rPr>
        <w:t xml:space="preserve">minősülő vállalkozó </w:t>
      </w:r>
      <w:r w:rsidRPr="00AB058D">
        <w:rPr>
          <w:rFonts w:ascii="Times New Roman" w:eastAsia="Times New Roman" w:hAnsi="Times New Roman" w:cs="Times New Roman"/>
          <w:b/>
          <w:color w:val="1A171C"/>
          <w:sz w:val="24"/>
        </w:rPr>
        <w:t xml:space="preserve">kiva alanyisága </w:t>
      </w:r>
      <w:r w:rsidRPr="00AB058D">
        <w:rPr>
          <w:rFonts w:ascii="Times New Roman" w:eastAsia="Times New Roman" w:hAnsi="Times New Roman" w:cs="Times New Roman"/>
          <w:color w:val="1A171C"/>
          <w:sz w:val="24"/>
        </w:rPr>
        <w:t xml:space="preserve">a tárgyévben bármely ok miatt </w:t>
      </w:r>
      <w:r w:rsidRPr="00AB058D">
        <w:rPr>
          <w:rFonts w:ascii="Times New Roman" w:eastAsia="Times New Roman" w:hAnsi="Times New Roman" w:cs="Times New Roman"/>
          <w:b/>
          <w:color w:val="1A171C"/>
          <w:sz w:val="24"/>
        </w:rPr>
        <w:t>megszűnik</w:t>
      </w:r>
      <w:r w:rsidRPr="00AB058D">
        <w:rPr>
          <w:rFonts w:ascii="Times New Roman" w:eastAsia="Times New Roman" w:hAnsi="Times New Roman" w:cs="Times New Roman"/>
          <w:color w:val="1A171C"/>
          <w:sz w:val="24"/>
        </w:rPr>
        <w:t xml:space="preserve">, akkor csak a kiva alanyiság adóévben fennálló időszakára választhatja a kiva alanyokra vonatkozó egyszerűsített adóalap-megállapítást. Ebben az esetben </w:t>
      </w:r>
      <w:r w:rsidRPr="00AB058D">
        <w:rPr>
          <w:rFonts w:ascii="Times New Roman" w:eastAsia="Times New Roman" w:hAnsi="Times New Roman" w:cs="Times New Roman"/>
          <w:b/>
          <w:color w:val="1A171C"/>
          <w:sz w:val="24"/>
        </w:rPr>
        <w:t xml:space="preserve">évközi bevallást </w:t>
      </w:r>
      <w:r w:rsidRPr="00AB058D">
        <w:rPr>
          <w:rFonts w:ascii="Times New Roman" w:eastAsia="Times New Roman" w:hAnsi="Times New Roman" w:cs="Times New Roman"/>
          <w:color w:val="1A171C"/>
          <w:sz w:val="24"/>
        </w:rPr>
        <w:t xml:space="preserve">kell benyújtani ezen időszakról, mégpedig a beszámoló-készítésre nyitva álló határnapig (a kiva alanyiság megszűnésével, mint mérlegforduló-nappal önálló üzleti év végződik). A vállalkozó-bevallásbenyújtással egyidejűleg (a bevallási nyomtatványon) </w:t>
      </w:r>
      <w:r w:rsidRPr="00AB058D">
        <w:rPr>
          <w:rFonts w:ascii="Times New Roman" w:eastAsia="Times New Roman" w:hAnsi="Times New Roman" w:cs="Times New Roman"/>
          <w:b/>
          <w:color w:val="1A171C"/>
          <w:sz w:val="24"/>
        </w:rPr>
        <w:t>köteles előleget is bevallani</w:t>
      </w:r>
      <w:r w:rsidRPr="00AB058D">
        <w:rPr>
          <w:rFonts w:ascii="Times New Roman" w:eastAsia="Times New Roman" w:hAnsi="Times New Roman" w:cs="Times New Roman"/>
          <w:color w:val="1A171C"/>
          <w:sz w:val="24"/>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14. pontban kell jelölni.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III. 16. sorba annak az adózónak kell X-et tennie, aki/amely kata alanyként a 2018. adóévre az általános szabályok szerint vagy a nettó árbevétel 80%-ában állapítja meg az adóalapot és 2019. február 15-ig (változás-bejelentési nyomtatványon) arról nyilatkozott, hogy a 2019. adóévtől tételes adóalap szerinti fizeti meg az iparűzési adót. Továbbá azon adózónak is kell X-et tennie ebbe a sorba 2019. január 15-ig teljesített változás-bejelentés mellett, amely a naptári évtől eltérő üzleti évről visszatér a naptári évre. Ezen esetekben a speciális záró bevallási okot is be kell írni.</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0"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ELŐTÁRSASÁGI BEVALLÁST a jogelőd nélkül alakuló </w:t>
      </w:r>
      <w:r w:rsidRPr="00AB058D">
        <w:rPr>
          <w:rFonts w:ascii="Times New Roman" w:eastAsia="Times New Roman" w:hAnsi="Times New Roman" w:cs="Times New Roman"/>
          <w:color w:val="1A171C"/>
          <w:sz w:val="24"/>
        </w:rPr>
        <w:t xml:space="preserve">gazdasági társaságnak, egyesülésnek, </w:t>
      </w:r>
    </w:p>
    <w:p w:rsidR="00AB058D" w:rsidRPr="00AB058D" w:rsidRDefault="00AB058D" w:rsidP="00AB058D">
      <w:pPr>
        <w:spacing w:after="165"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szövetkezetnek, erdőbirtokossági társulatnak, közhasznú társaságnak kell benyújtani az előtársasági időszak alatti vállalkozási tevékenységről. </w:t>
      </w:r>
      <w:r w:rsidRPr="00AB058D">
        <w:rPr>
          <w:rFonts w:ascii="Times New Roman" w:eastAsia="Times New Roman" w:hAnsi="Times New Roman" w:cs="Times New Roman"/>
          <w:b/>
          <w:color w:val="1A171C"/>
          <w:sz w:val="24"/>
        </w:rPr>
        <w:t xml:space="preserve">A II. pontban az előtársasági létforma alatti adókötelezettség időtartamát kell megjelölni. </w:t>
      </w:r>
      <w:r w:rsidRPr="00AB058D">
        <w:rPr>
          <w:rFonts w:ascii="Times New Roman" w:eastAsia="Times New Roman" w:hAnsi="Times New Roman" w:cs="Times New Roman"/>
          <w:color w:val="1A171C"/>
          <w:sz w:val="24"/>
        </w:rPr>
        <w:t>Az előtársasági időszaknak a jogelőd nélkül alakuló szervezet társasági, társulati szerződése (alapító okirata, alapszabálya) ellenjegyzésének, illetőleg közokiratba foglalásának napjától a cégjegyzékbe való bejegyzésének, vagy a cégbejegyzési kérelem jogerős elutasításának, vagy a cégbejegyzési eljárás megszüntetésének napjáig terjedő időtartam minősül.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naptári évtől eltérő üzleti évet választó adózó ezen minőségét jelzi ebben a sorban amellett, hogy az 1. vagy 2. sorban az éves vagy záró bevallás tényét is fel kell tüntetni.</w:t>
      </w:r>
      <w:r w:rsidRPr="00AB058D">
        <w:rPr>
          <w:rFonts w:ascii="Times New Roman" w:eastAsia="Times New Roman" w:hAnsi="Times New Roman" w:cs="Times New Roman"/>
          <w:sz w:val="24"/>
        </w:rPr>
        <w:t xml:space="preserve"> </w:t>
      </w:r>
    </w:p>
    <w:p w:rsidR="003A030F" w:rsidRDefault="00AB058D" w:rsidP="00AB058D">
      <w:pPr>
        <w:numPr>
          <w:ilvl w:val="0"/>
          <w:numId w:val="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év közben - akár jogelőd nélkül, akár a településen - kezdő vállalkozó ezt a tényt az ebben a rovatban lévő kockában jelzi, amellett, hogy az 1. vagy 2. sorban az éves vagy záró bevallás tényét is fel kell tüntetni.</w:t>
      </w:r>
    </w:p>
    <w:p w:rsidR="00AB058D" w:rsidRPr="00AB058D" w:rsidRDefault="00AB058D" w:rsidP="003A030F">
      <w:pPr>
        <w:spacing w:after="207" w:line="269" w:lineRule="auto"/>
        <w:ind w:left="10" w:right="0" w:firstLine="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6.</w:t>
      </w:r>
      <w:r w:rsidRPr="00AB058D">
        <w:rPr>
          <w:rFonts w:ascii="Arial" w:eastAsia="Arial" w:hAnsi="Arial" w:cs="Arial"/>
          <w:b/>
          <w:color w:val="1A171C"/>
          <w:sz w:val="24"/>
        </w:rPr>
        <w:t xml:space="preserve"> </w:t>
      </w:r>
      <w:r w:rsidRPr="00AB058D">
        <w:rPr>
          <w:rFonts w:ascii="Times New Roman" w:eastAsia="Times New Roman" w:hAnsi="Times New Roman" w:cs="Times New Roman"/>
          <w:color w:val="1A171C"/>
          <w:sz w:val="24"/>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 </w:t>
      </w:r>
    </w:p>
    <w:p w:rsidR="00AB058D" w:rsidRPr="00AB058D" w:rsidRDefault="00AB058D" w:rsidP="00AB058D">
      <w:pPr>
        <w:numPr>
          <w:ilvl w:val="0"/>
          <w:numId w:val="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Ebben a rovatban kell jelezni, ha a vállalkozó építőipari tevékenységet folytat, természeti erőforrást tár fel vagy kutat, s a folyamatosan vagy megszakításokkal végzett tevékenység időtartama az önkormányzat illetékességi területén az adóévben a 180 napot meghaladja és ezért a tevékenység végzésének helye telephelynek minősül, amellett, hogy az 1. vagy 2. sorban az éves vagy záró bevallás tényét is fel kell tüntetni.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10.</w:t>
      </w:r>
      <w:r w:rsidRPr="00AB058D">
        <w:rPr>
          <w:rFonts w:ascii="Arial" w:eastAsia="Arial" w:hAnsi="Arial" w:cs="Arial"/>
          <w:b/>
          <w:color w:val="1A171C"/>
          <w:sz w:val="24"/>
        </w:rPr>
        <w:t xml:space="preserve"> </w:t>
      </w:r>
      <w:r w:rsidRPr="00AB058D">
        <w:rPr>
          <w:rFonts w:ascii="Times New Roman" w:eastAsia="Times New Roman" w:hAnsi="Times New Roman" w:cs="Times New Roman"/>
          <w:color w:val="1A171C"/>
          <w:sz w:val="24"/>
        </w:rPr>
        <w:t>Abban az esetben, ha a kata alanya a helyi iparűzési adóban az adóévre az adóalap tételes összegben való (egyszerűsített) megállapítását választotta, akkor főszabály szerint – bizonyos esetektől eltekintve – bevallás-benyújtási kötelezettség nem terheli. Bevallást kell azonban ezen adóalanynak benyújtania [Htv. 39/B. § (6) bekezdés]:</w:t>
      </w:r>
      <w:r w:rsidRPr="00AB058D">
        <w:rPr>
          <w:rFonts w:ascii="Times New Roman" w:eastAsia="Times New Roman" w:hAnsi="Times New Roman" w:cs="Times New Roman"/>
          <w:sz w:val="24"/>
        </w:rPr>
        <w:t xml:space="preserve"> </w:t>
      </w:r>
    </w:p>
    <w:p w:rsidR="00AB058D" w:rsidRPr="00AB058D" w:rsidRDefault="00AB058D" w:rsidP="00AB058D">
      <w:pPr>
        <w:numPr>
          <w:ilvl w:val="1"/>
          <w:numId w:val="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ha az adóévben a kata alany adófizetési kötelezettsége (pl.: 60 napot meghaladó keresőképtelenség miatt) szünetelt és a vállalkozó több iparűzési adót fizetett, mint amennyit az adókötelezettség időszakára fizetnie kellett volna,</w:t>
      </w:r>
      <w:r w:rsidRPr="00AB058D">
        <w:rPr>
          <w:rFonts w:ascii="Times New Roman" w:eastAsia="Times New Roman" w:hAnsi="Times New Roman" w:cs="Times New Roman"/>
          <w:sz w:val="24"/>
        </w:rPr>
        <w:t xml:space="preserve"> </w:t>
      </w:r>
    </w:p>
    <w:p w:rsidR="00AB058D" w:rsidRPr="00AB058D" w:rsidRDefault="00AB058D" w:rsidP="00AB058D">
      <w:pPr>
        <w:numPr>
          <w:ilvl w:val="1"/>
          <w:numId w:val="6"/>
        </w:numPr>
        <w:spacing w:after="162"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kata alany a foglalkoztatás-növelés miatti törvényi adóalap-mentességet vagy a települési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 (Ezekben az esetekben a bevallást az adóévet követő év január 15-ig kell benyújtani.)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11.</w:t>
      </w:r>
      <w:r w:rsidRPr="00AB058D">
        <w:rPr>
          <w:rFonts w:ascii="Times New Roman" w:eastAsia="Times New Roman" w:hAnsi="Times New Roman" w:cs="Times New Roman"/>
          <w:color w:val="1A171C"/>
          <w:sz w:val="24"/>
        </w:rPr>
        <w:t xml:space="preserve"> 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szabályozott ingatlanbefektetési társaság, a Szit. tv. szerinti szabályozott ingatlanbefektetési elővállalkozás, valamint említettek projekttársasága e rovatba tesz X-et, amellett, hogy az 1. vagy 2. sorban az éves vagy záró bevallás tényét is feltünteti.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12.</w:t>
      </w:r>
      <w:r w:rsidRPr="00AB058D">
        <w:rPr>
          <w:rFonts w:ascii="Times New Roman" w:eastAsia="Times New Roman" w:hAnsi="Times New Roman" w:cs="Times New Roman"/>
          <w:color w:val="1A171C"/>
          <w:sz w:val="24"/>
        </w:rPr>
        <w:t xml:space="preserve"> A Htv. 39/F. §-a rendelkezik a beszerző, értékesítő szövetkezetek mentességéről. Ha a szövetkezet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13.</w:t>
      </w:r>
      <w:r w:rsidRPr="00AB058D">
        <w:rPr>
          <w:rFonts w:ascii="Times New Roman" w:eastAsia="Times New Roman" w:hAnsi="Times New Roman" w:cs="Times New Roman"/>
          <w:color w:val="1A171C"/>
          <w:sz w:val="24"/>
        </w:rPr>
        <w:t xml:space="preserve"> Azon adózónak kell e rovatba X-et tennie, aki/amely a már benyújtott adóbevallását - az Art.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helyesbítés vonatkozik.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Bevallott időszak</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Itt kell jelölni azt az időszakot, amelyre a bevallás vonatkozik, az I. pontban foglaltak alapján.</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2496"/>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A záró bevallás benyújtásának oka</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záró bevallás (I. 2. sor) benyújtásának okát kell jelölni a megfelelő kockában, az I. pontban említettek szerint.</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2348"/>
        </w:tabs>
        <w:spacing w:after="165"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IV.</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Bevallásban szereplő betétlapok</w:t>
      </w:r>
      <w:r w:rsidRPr="00AB058D">
        <w:rPr>
          <w:rFonts w:ascii="Times New Roman" w:eastAsia="Times New Roman" w:hAnsi="Times New Roman" w:cs="Times New Roman"/>
          <w:b/>
          <w:sz w:val="24"/>
        </w:rPr>
        <w:t xml:space="preserve"> </w:t>
      </w:r>
    </w:p>
    <w:p w:rsidR="00AB058D" w:rsidRPr="00AB058D" w:rsidRDefault="00AB058D" w:rsidP="00AB058D">
      <w:pPr>
        <w:spacing w:after="98" w:line="33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bevallási nyomtatványhoz különböző betétlapok tartoznak. A bevallás teljességéhez a vonatkozó betétlapokat is - a tevékenység jellegének megfelelően - ki kell tölteni. Az </w:t>
      </w:r>
      <w:r w:rsidRPr="00AB058D">
        <w:rPr>
          <w:rFonts w:ascii="Times New Roman" w:eastAsia="Times New Roman" w:hAnsi="Times New Roman" w:cs="Times New Roman"/>
          <w:b/>
          <w:color w:val="1A171C"/>
          <w:sz w:val="24"/>
        </w:rPr>
        <w:t xml:space="preserve">„A”-tól „D”-ig </w:t>
      </w:r>
      <w:r w:rsidRPr="00AB058D">
        <w:rPr>
          <w:rFonts w:ascii="Times New Roman" w:eastAsia="Times New Roman" w:hAnsi="Times New Roman" w:cs="Times New Roman"/>
          <w:color w:val="1A171C"/>
          <w:sz w:val="24"/>
        </w:rPr>
        <w:t xml:space="preserve">terjedő betétlapok a nettó árbevétel levezetését tartalmazzák. </w:t>
      </w:r>
      <w:r w:rsidRPr="00AB058D">
        <w:rPr>
          <w:rFonts w:ascii="Times New Roman" w:eastAsia="Times New Roman" w:hAnsi="Times New Roman" w:cs="Times New Roman"/>
          <w:b/>
          <w:color w:val="1A171C"/>
          <w:sz w:val="24"/>
        </w:rPr>
        <w:t xml:space="preserve">Ezek közül csak egyet - a vállalkozásra irányadó betétlapot - </w:t>
      </w:r>
      <w:r w:rsidRPr="00AB058D">
        <w:rPr>
          <w:rFonts w:ascii="Times New Roman" w:eastAsia="Times New Roman" w:hAnsi="Times New Roman" w:cs="Times New Roman"/>
          <w:b/>
          <w:color w:val="1A171C"/>
          <w:sz w:val="24"/>
        </w:rPr>
        <w:lastRenderedPageBreak/>
        <w:t xml:space="preserve">kell kitölteni </w:t>
      </w:r>
      <w:r w:rsidRPr="00AB058D">
        <w:rPr>
          <w:rFonts w:ascii="Times New Roman" w:eastAsia="Times New Roman" w:hAnsi="Times New Roman" w:cs="Times New Roman"/>
          <w:color w:val="1A171C"/>
          <w:sz w:val="24"/>
        </w:rPr>
        <w:t>és benyújtani az adóhatósághoz. Az „</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A”-tól „D</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"-ig terjedő betétlapok </w:t>
      </w:r>
      <w:r w:rsidRPr="00AB058D">
        <w:rPr>
          <w:rFonts w:ascii="Times New Roman" w:eastAsia="Times New Roman" w:hAnsi="Times New Roman" w:cs="Times New Roman"/>
          <w:b/>
          <w:color w:val="1A171C"/>
          <w:sz w:val="24"/>
        </w:rPr>
        <w:t>egyikét sem kell kitölteni a következő - rá vonatkozó - egyszerűsített iparűzési adóalap-megállapítást választó:</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a)</w:t>
      </w:r>
      <w:r w:rsidRPr="00AB058D">
        <w:rPr>
          <w:rFonts w:ascii="Arial" w:eastAsia="Arial" w:hAnsi="Arial" w:cs="Arial"/>
          <w:color w:val="1A171C"/>
          <w:sz w:val="24"/>
        </w:rPr>
        <w:t xml:space="preserve"> </w:t>
      </w:r>
      <w:r w:rsidRPr="00AB058D">
        <w:rPr>
          <w:rFonts w:ascii="Times New Roman" w:eastAsia="Times New Roman" w:hAnsi="Times New Roman" w:cs="Times New Roman"/>
          <w:color w:val="1A171C"/>
          <w:sz w:val="24"/>
        </w:rPr>
        <w:t>személyi jövedelemadóról szóló törvény szerinti átalányadózónak,</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b)</w:t>
      </w:r>
      <w:r w:rsidRPr="00AB058D">
        <w:rPr>
          <w:rFonts w:ascii="Arial" w:eastAsia="Arial" w:hAnsi="Arial" w:cs="Arial"/>
          <w:color w:val="1A171C"/>
          <w:sz w:val="24"/>
        </w:rPr>
        <w:t xml:space="preserve"> </w:t>
      </w:r>
      <w:r w:rsidRPr="00AB058D">
        <w:rPr>
          <w:rFonts w:ascii="Times New Roman" w:eastAsia="Times New Roman" w:hAnsi="Times New Roman" w:cs="Times New Roman"/>
          <w:color w:val="1A171C"/>
          <w:sz w:val="24"/>
        </w:rPr>
        <w:t>eva-alanynak,</w:t>
      </w:r>
      <w:r w:rsidRPr="00AB058D">
        <w:rPr>
          <w:rFonts w:ascii="Times New Roman" w:eastAsia="Times New Roman" w:hAnsi="Times New Roman" w:cs="Times New Roman"/>
          <w:sz w:val="24"/>
        </w:rPr>
        <w:t xml:space="preserve"> </w:t>
      </w:r>
    </w:p>
    <w:p w:rsidR="00AB058D" w:rsidRPr="00AB058D" w:rsidRDefault="00AB058D" w:rsidP="00AB058D">
      <w:pPr>
        <w:numPr>
          <w:ilvl w:val="0"/>
          <w:numId w:val="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kata-alanynak,</w:t>
      </w:r>
      <w:r w:rsidRPr="00AB058D">
        <w:rPr>
          <w:rFonts w:ascii="Times New Roman" w:eastAsia="Times New Roman" w:hAnsi="Times New Roman" w:cs="Times New Roman"/>
          <w:sz w:val="24"/>
        </w:rPr>
        <w:t xml:space="preserve"> </w:t>
      </w:r>
    </w:p>
    <w:p w:rsidR="00AB058D" w:rsidRPr="00AB058D" w:rsidRDefault="00AB058D" w:rsidP="00AB058D">
      <w:pPr>
        <w:numPr>
          <w:ilvl w:val="0"/>
          <w:numId w:val="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kisvállalati adóalanynak.</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„A” jelű </w:t>
      </w:r>
      <w:r w:rsidRPr="00AB058D">
        <w:rPr>
          <w:rFonts w:ascii="Times New Roman" w:eastAsia="Times New Roman" w:hAnsi="Times New Roman" w:cs="Times New Roman"/>
          <w:color w:val="1A171C"/>
          <w:sz w:val="24"/>
        </w:rPr>
        <w:t xml:space="preserve">betétlapot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AB058D">
        <w:rPr>
          <w:rFonts w:ascii="Times New Roman" w:eastAsia="Times New Roman" w:hAnsi="Times New Roman" w:cs="Times New Roman"/>
          <w:b/>
          <w:color w:val="1A171C"/>
          <w:sz w:val="24"/>
        </w:rPr>
        <w:t xml:space="preserve">Ki kell tölteni </w:t>
      </w:r>
      <w:r w:rsidRPr="00AB058D">
        <w:rPr>
          <w:rFonts w:ascii="Times New Roman" w:eastAsia="Times New Roman" w:hAnsi="Times New Roman" w:cs="Times New Roman"/>
          <w:color w:val="1A171C"/>
          <w:sz w:val="24"/>
        </w:rPr>
        <w:t xml:space="preserve">az „A" jelű betétlapot </w:t>
      </w:r>
      <w:r w:rsidRPr="00AB058D">
        <w:rPr>
          <w:rFonts w:ascii="Times New Roman" w:eastAsia="Times New Roman" w:hAnsi="Times New Roman" w:cs="Times New Roman"/>
          <w:b/>
          <w:color w:val="1A171C"/>
          <w:sz w:val="24"/>
        </w:rPr>
        <w:t>annak az adóalanynak is</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 akinek/ amelynek nettó árbevétele az adóévben a 8 millió forintot nem haladja meg és az adóalap egyszerűsített, </w:t>
      </w:r>
      <w:r w:rsidRPr="00AB058D">
        <w:rPr>
          <w:rFonts w:ascii="Times New Roman" w:eastAsia="Times New Roman" w:hAnsi="Times New Roman" w:cs="Times New Roman"/>
          <w:b/>
          <w:color w:val="1A171C"/>
          <w:sz w:val="24"/>
        </w:rPr>
        <w:t>a nettó árbevétel 80%-ában való megállapítását választja</w:t>
      </w:r>
      <w:r w:rsidRPr="00AB058D">
        <w:rPr>
          <w:rFonts w:ascii="Times New Roman" w:eastAsia="Times New Roman" w:hAnsi="Times New Roman" w:cs="Times New Roman"/>
          <w:color w:val="1A171C"/>
          <w:sz w:val="24"/>
        </w:rPr>
        <w:t>, függetlenül attól, hogy esetlegesen a személyi jövedelemadó szerinti átalányadózónak, eva-alanynak, kata alanynak vagy a kisvállalati adó alanyának minősül.</w:t>
      </w:r>
      <w:r w:rsidRPr="00AB058D">
        <w:rPr>
          <w:rFonts w:ascii="Times New Roman" w:eastAsia="Times New Roman" w:hAnsi="Times New Roman" w:cs="Times New Roman"/>
          <w:sz w:val="24"/>
        </w:rPr>
        <w:t xml:space="preserve"> </w:t>
      </w:r>
    </w:p>
    <w:p w:rsidR="00AB058D" w:rsidRPr="00AB058D" w:rsidRDefault="00AB058D" w:rsidP="00AB058D">
      <w:pPr>
        <w:spacing w:after="162"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Nem kell ezt a lapot </w:t>
      </w:r>
      <w:r w:rsidRPr="00AB058D">
        <w:rPr>
          <w:rFonts w:ascii="Times New Roman" w:eastAsia="Times New Roman" w:hAnsi="Times New Roman" w:cs="Times New Roman"/>
          <w:color w:val="1A171C"/>
          <w:sz w:val="24"/>
        </w:rPr>
        <w:t xml:space="preserve">kitölteni az egyszerűsített iparűzési adóalap-megállapítást választók közül: </w:t>
      </w:r>
    </w:p>
    <w:p w:rsidR="00AB058D" w:rsidRPr="00AB058D" w:rsidRDefault="00AB058D" w:rsidP="00AB058D">
      <w:pPr>
        <w:numPr>
          <w:ilvl w:val="1"/>
          <w:numId w:val="7"/>
        </w:numPr>
        <w:spacing w:after="213" w:line="25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személyi jövedelemadóról szóló törvény szerinti átalányadózóknak, ha a rájuk vonatkozó egyszerűsített iparűzési adóalap-megállapítást alkalmazzák; </w:t>
      </w:r>
    </w:p>
    <w:p w:rsidR="00AB058D" w:rsidRPr="00AB058D" w:rsidRDefault="00AB058D" w:rsidP="00AB058D">
      <w:pPr>
        <w:numPr>
          <w:ilvl w:val="1"/>
          <w:numId w:val="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azon eva-alanyoknak, akik az egyszerűsített vállalkozói adóalapjuk 50%-ában állapítják meg iparűzési adóalapjukat; </w:t>
      </w:r>
    </w:p>
    <w:p w:rsidR="00AB058D" w:rsidRPr="00AB058D" w:rsidRDefault="00AB058D" w:rsidP="00AB058D">
      <w:pPr>
        <w:numPr>
          <w:ilvl w:val="1"/>
          <w:numId w:val="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azon kata alanyoknak, akik tételes adóalap szerinti adómegállapítást választottak; </w:t>
      </w:r>
    </w:p>
    <w:p w:rsidR="00AB058D" w:rsidRPr="00AB058D" w:rsidRDefault="00AB058D" w:rsidP="00AB058D">
      <w:pPr>
        <w:numPr>
          <w:ilvl w:val="1"/>
          <w:numId w:val="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azon kisvállalati adóalanyoknak, amelyek a kisvállalati adó 1,2-szeresében állapítják meg iparűzési adóalapjukat.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„B” jelű </w:t>
      </w:r>
      <w:r w:rsidRPr="00AB058D">
        <w:rPr>
          <w:rFonts w:ascii="Times New Roman" w:eastAsia="Times New Roman" w:hAnsi="Times New Roman" w:cs="Times New Roman"/>
          <w:color w:val="1A171C"/>
          <w:sz w:val="24"/>
        </w:rPr>
        <w:t>betétlapot a hitelintézetekről és pénzügyi vállalkozásokról szóló törvény szerinti hitelintézeteknek és pénzügyi vállalkozásoknak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w:t>
      </w:r>
      <w:r w:rsidRPr="00AB058D">
        <w:rPr>
          <w:rFonts w:ascii="Times New Roman" w:eastAsia="Times New Roman" w:hAnsi="Times New Roman" w:cs="Times New Roman"/>
          <w:b/>
          <w:color w:val="1A171C"/>
          <w:sz w:val="24"/>
        </w:rPr>
        <w:t xml:space="preserve">C” jelű </w:t>
      </w:r>
      <w:r w:rsidRPr="00AB058D">
        <w:rPr>
          <w:rFonts w:ascii="Times New Roman" w:eastAsia="Times New Roman" w:hAnsi="Times New Roman" w:cs="Times New Roman"/>
          <w:color w:val="1A171C"/>
          <w:sz w:val="24"/>
        </w:rPr>
        <w:t>betétlapot a biztosítóknak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„D” jelű </w:t>
      </w:r>
      <w:r w:rsidRPr="00AB058D">
        <w:rPr>
          <w:rFonts w:ascii="Times New Roman" w:eastAsia="Times New Roman" w:hAnsi="Times New Roman" w:cs="Times New Roman"/>
          <w:color w:val="1A171C"/>
          <w:sz w:val="24"/>
        </w:rPr>
        <w:t>betétlapot a befektetési vállalkozásoknak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„E” jelű </w:t>
      </w:r>
      <w:r w:rsidRPr="00AB058D">
        <w:rPr>
          <w:rFonts w:ascii="Times New Roman" w:eastAsia="Times New Roman" w:hAnsi="Times New Roman" w:cs="Times New Roman"/>
          <w:color w:val="1A171C"/>
          <w:sz w:val="24"/>
        </w:rPr>
        <w:t xml:space="preserve">betétlapot azoknak a vállalkozásoknak kell kitölteni, amelyek eladott áruk beszerzési értéke és/vagy közvetített szolgáltatások értéke címen kívánják csökkenteni a nettó árbevételt a helyi iparűzési adóalap kiszámítása során. </w:t>
      </w:r>
      <w:r w:rsidRPr="00AB058D">
        <w:rPr>
          <w:rFonts w:ascii="Times New Roman" w:eastAsia="Times New Roman" w:hAnsi="Times New Roman" w:cs="Times New Roman"/>
          <w:b/>
          <w:color w:val="1A171C"/>
          <w:sz w:val="24"/>
        </w:rPr>
        <w:t xml:space="preserve">Nem kell kitölteni az „E” jelű betétlapot </w:t>
      </w:r>
      <w:r w:rsidRPr="00AB058D">
        <w:rPr>
          <w:rFonts w:ascii="Times New Roman" w:eastAsia="Times New Roman" w:hAnsi="Times New Roman" w:cs="Times New Roman"/>
          <w:color w:val="1A171C"/>
          <w:sz w:val="24"/>
        </w:rPr>
        <w:t>bármely, egyszerűsített adóalapmegállapítást választó adóalanynak.</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„F” jelű </w:t>
      </w:r>
      <w:r w:rsidRPr="00AB058D">
        <w:rPr>
          <w:rFonts w:ascii="Times New Roman" w:eastAsia="Times New Roman" w:hAnsi="Times New Roman" w:cs="Times New Roman"/>
          <w:color w:val="1A171C"/>
          <w:sz w:val="24"/>
        </w:rPr>
        <w:t>betétlapot az adóalap-megosztással összefüggésben kell kitölteni, annak, aki székhelyén kívül legalább egy településen telephellyel rendelkezik, azaz adóalap-megosztásra kötelezett.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„G” jelű </w:t>
      </w:r>
      <w:r w:rsidRPr="00AB058D">
        <w:rPr>
          <w:rFonts w:ascii="Times New Roman" w:eastAsia="Times New Roman" w:hAnsi="Times New Roman" w:cs="Times New Roman"/>
          <w:color w:val="1A171C"/>
          <w:sz w:val="24"/>
        </w:rPr>
        <w:t xml:space="preserve">betétlapot azoknak az adózóknak kell kitölteni, akiknek túlfizetése vagy fennálló köztartozása van. A </w:t>
      </w:r>
      <w:r w:rsidRPr="00AB058D">
        <w:rPr>
          <w:rFonts w:ascii="Times New Roman" w:eastAsia="Times New Roman" w:hAnsi="Times New Roman" w:cs="Times New Roman"/>
          <w:b/>
          <w:color w:val="1A171C"/>
          <w:sz w:val="24"/>
        </w:rPr>
        <w:t xml:space="preserve">„G” jelű </w:t>
      </w:r>
      <w:r w:rsidRPr="00AB058D">
        <w:rPr>
          <w:rFonts w:ascii="Times New Roman" w:eastAsia="Times New Roman" w:hAnsi="Times New Roman" w:cs="Times New Roman"/>
          <w:color w:val="1A171C"/>
          <w:sz w:val="24"/>
        </w:rPr>
        <w:t xml:space="preserve">betétlap </w:t>
      </w:r>
      <w:r w:rsidRPr="00AB058D">
        <w:rPr>
          <w:rFonts w:ascii="Times New Roman" w:eastAsia="Times New Roman" w:hAnsi="Times New Roman" w:cs="Times New Roman"/>
          <w:b/>
          <w:color w:val="1A171C"/>
          <w:sz w:val="24"/>
        </w:rPr>
        <w:t>a túlfizetésről szóló nyilatkozat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tételre és más adóhatóságnál fennálló köztartozások megnevezésére szolgál.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„H” jelű </w:t>
      </w:r>
      <w:r w:rsidRPr="00AB058D">
        <w:rPr>
          <w:rFonts w:ascii="Times New Roman" w:eastAsia="Times New Roman" w:hAnsi="Times New Roman" w:cs="Times New Roman"/>
          <w:color w:val="1A171C"/>
          <w:sz w:val="24"/>
        </w:rPr>
        <w:t>betétlapot azoknak az adózóknak kell kitölteniük, akik/amelyek a korábbi adóévre már benyújtott adóbevallásukat - az Art. 54. és 56. §-ai alapján - utólag önellenőrzéssel helyesbíteni kívánják. A helyesbített adó és a megállapított önellenőrzési pótlék a helyesbített összeg és a pótlék bevallásával egyidejűleg esedékes [Art. 57. § (1) bek.]</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Az </w:t>
      </w:r>
      <w:r w:rsidRPr="00AB058D">
        <w:rPr>
          <w:rFonts w:ascii="Times New Roman" w:eastAsia="Times New Roman" w:hAnsi="Times New Roman" w:cs="Times New Roman"/>
          <w:b/>
          <w:color w:val="1A171C"/>
          <w:sz w:val="24"/>
        </w:rPr>
        <w:t xml:space="preserve">„I” jelű </w:t>
      </w:r>
      <w:r w:rsidRPr="00AB058D">
        <w:rPr>
          <w:rFonts w:ascii="Times New Roman" w:eastAsia="Times New Roman" w:hAnsi="Times New Roman" w:cs="Times New Roman"/>
          <w:color w:val="1A171C"/>
          <w:sz w:val="24"/>
        </w:rPr>
        <w:t xml:space="preserve">betétlapot azon adóalanyoknak kell kitölteni, amelyek éves beszámolójukat az IFRS- ek szerint készítik. Az „A"-„D" jelű betétlapokat nem kell kitölteni azon vállalkozásoknak, melyek az „I" jelű lap kitöltésére kötelezettek. Szükséges azonban az „E" jelű betétlap kitöltése.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A </w:t>
      </w:r>
      <w:r w:rsidRPr="00AB058D">
        <w:rPr>
          <w:rFonts w:ascii="Times New Roman" w:eastAsia="Times New Roman" w:hAnsi="Times New Roman" w:cs="Times New Roman"/>
          <w:b/>
          <w:sz w:val="24"/>
        </w:rPr>
        <w:t>„J” jelű</w:t>
      </w:r>
      <w:r w:rsidRPr="00AB058D">
        <w:rPr>
          <w:rFonts w:ascii="Times New Roman" w:eastAsia="Times New Roman" w:hAnsi="Times New Roman" w:cs="Times New Roman"/>
          <w:i/>
          <w:sz w:val="24"/>
        </w:rPr>
        <w:t xml:space="preserve"> </w:t>
      </w:r>
      <w:r w:rsidRPr="00AB058D">
        <w:rPr>
          <w:rFonts w:ascii="Times New Roman" w:eastAsia="Times New Roman" w:hAnsi="Times New Roman" w:cs="Times New Roman"/>
          <w:sz w:val="24"/>
        </w:rPr>
        <w:t>betétlapot azon,</w:t>
      </w:r>
      <w:r w:rsidRPr="00AB058D">
        <w:rPr>
          <w:rFonts w:ascii="Times New Roman" w:eastAsia="Times New Roman" w:hAnsi="Times New Roman" w:cs="Times New Roman"/>
          <w:color w:val="1A171C"/>
          <w:sz w:val="24"/>
        </w:rPr>
        <w:t xml:space="preserve"> közös őstermelői igazolvánnyal rendelkező adóalanyoknak, családi gazdaság tagjainak (adóalanyoknak) kell kitölteniük, akik az adóévi iparűzési adókötelezettségüket úgy kívánják teljesíteni, hogy a közös őstermelői, családi gazdaságban folytatott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 alkalmazásáról. </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V.</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Azonosító adatok</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adózó azonosításához szükséges adatokat értelemszerűen kell kitölteni.</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VI. Az adó alapjának egyszerűsített meghatározási módját választók nyilatkozata</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r w:rsidRPr="00AB058D">
        <w:rPr>
          <w:rFonts w:ascii="Times New Roman" w:eastAsia="Times New Roman" w:hAnsi="Times New Roman" w:cs="Times New Roman"/>
          <w:sz w:val="24"/>
        </w:rPr>
        <w:t xml:space="preserve"> </w:t>
      </w:r>
    </w:p>
    <w:p w:rsidR="00AB058D" w:rsidRPr="00AB058D" w:rsidRDefault="00AB058D" w:rsidP="00AB058D">
      <w:pPr>
        <w:spacing w:after="12"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iparűzési adó alapjának egyszerűsített meghatározási módjával az alábbi adózók élhetnek a 2018.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adóévre: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2018. teljes adóévben a személyi jövedelemadóról szóló törvény szerinti átalányadózó vállalkozó,</w:t>
      </w:r>
      <w:r w:rsidRPr="00AB058D">
        <w:rPr>
          <w:rFonts w:ascii="Times New Roman" w:eastAsia="Times New Roman" w:hAnsi="Times New Roman" w:cs="Times New Roman"/>
          <w:sz w:val="24"/>
        </w:rPr>
        <w:t xml:space="preserve"> </w:t>
      </w:r>
    </w:p>
    <w:p w:rsidR="00AB058D" w:rsidRPr="00AB058D" w:rsidRDefault="00AB058D" w:rsidP="00AB058D">
      <w:pPr>
        <w:numPr>
          <w:ilvl w:val="0"/>
          <w:numId w:val="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egyszerűsített vállalkozói adó alanya,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kisadózó vállalkozások tételes adójának alanya,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8"/>
        </w:numPr>
        <w:spacing w:after="56" w:line="360"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azon egyéb iparűzési adóalany, akinek/amelynek a nettó árbevétele az adóévben - 12 hónapnál rövidebb adóév esetén napi arányosítással számítva időarányosan - a 8 millió Ft-ot nem haladta meg,</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e)</w:t>
      </w:r>
      <w:r w:rsidRPr="00AB058D">
        <w:rPr>
          <w:rFonts w:ascii="Arial" w:eastAsia="Arial" w:hAnsi="Arial" w:cs="Arial"/>
          <w:color w:val="1A171C"/>
          <w:sz w:val="24"/>
        </w:rPr>
        <w:t xml:space="preserve"> </w:t>
      </w:r>
      <w:r w:rsidRPr="00AB058D">
        <w:rPr>
          <w:rFonts w:ascii="Times New Roman" w:eastAsia="Times New Roman" w:hAnsi="Times New Roman" w:cs="Times New Roman"/>
          <w:color w:val="1A171C"/>
          <w:sz w:val="24"/>
        </w:rPr>
        <w:t>a kisvállalati adó alanya.</w:t>
      </w:r>
      <w:r w:rsidRPr="00AB058D">
        <w:rPr>
          <w:rFonts w:ascii="Times New Roman" w:eastAsia="Times New Roman" w:hAnsi="Times New Roman" w:cs="Times New Roman"/>
          <w:sz w:val="24"/>
        </w:rPr>
        <w:t xml:space="preserve"> </w:t>
      </w:r>
    </w:p>
    <w:p w:rsidR="00AB058D" w:rsidRPr="00AB058D" w:rsidRDefault="00AB058D" w:rsidP="00AB058D">
      <w:pPr>
        <w:spacing w:after="15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 esetben az iparűzési adóalap összege a személyi jövedelemadóról szóló törvény szerinti átalányadó alap 20%-kal növelt (1,2-vel szorzott) összege, de legfeljebb a személyi jövedelemadóról szóló törvény szerinti bevétel 80%-a. A b) esetben a vállalkozási szintű iparűzési adóalap az eva alapjának 50%-a. A c) esetben a tételes adóalap szerinti adózó kata alany iparűzési adóalapja székhely, illetve telephely településenként 2,5-2,5 millió forint. A d) esetben az iparűzési adóalap összege a nettó árbevétel 80%-a (0,8cal szorzott összege). Az e) esetben az adó alapja a kisvállalati adó alapjának 20%-kal növelt (1,2-vel szorzott) összege.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A Htv. szerinti egyszerűsített adóalap-meghatározás választásakor nem kell kitölteni a VII. 2-5. sorokat, valamint a fentebb említett a)-c) és e) esetben (átalányadózó, eva-alany, tételes adóalap szerint adózó kataalany, kisvállalati adó alanya esetén), az „A", az a)-e) esetekben az „E" jelű betétlapokat. A tételes adóalap szerinti adózó kata-alanynak a VII. 1. sorát sem kell kitöltenie.</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kisadózó vállalkozások tételes adójának hatálya alá tartozó jogalany az iparűzési adó alapját egyébiránt háromféle módon állapíthatja meg:</w:t>
      </w:r>
      <w:r w:rsidRPr="00AB058D">
        <w:rPr>
          <w:rFonts w:ascii="Times New Roman" w:eastAsia="Times New Roman" w:hAnsi="Times New Roman" w:cs="Times New Roman"/>
          <w:sz w:val="24"/>
        </w:rPr>
        <w:t xml:space="preserve"> </w:t>
      </w:r>
    </w:p>
    <w:p w:rsidR="00AB058D" w:rsidRPr="00AB058D" w:rsidRDefault="00AB058D" w:rsidP="00AB058D">
      <w:pPr>
        <w:numPr>
          <w:ilvl w:val="0"/>
          <w:numId w:val="9"/>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általános szabályok szerint [Htv. 39. § (1) bek.] ekkor nem kell külön nyilatkozatot tennie a bevallási nyomtatványon,</w:t>
      </w:r>
      <w:r w:rsidRPr="00AB058D">
        <w:rPr>
          <w:rFonts w:ascii="Times New Roman" w:eastAsia="Times New Roman" w:hAnsi="Times New Roman" w:cs="Times New Roman"/>
          <w:sz w:val="24"/>
        </w:rPr>
        <w:t xml:space="preserve"> </w:t>
      </w:r>
    </w:p>
    <w:p w:rsidR="00AB058D" w:rsidRPr="00AB058D" w:rsidRDefault="00AB058D" w:rsidP="00AB058D">
      <w:pPr>
        <w:numPr>
          <w:ilvl w:val="0"/>
          <w:numId w:val="9"/>
        </w:numPr>
        <w:spacing w:after="6" w:line="447"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a nettó árbevétel 80%-ában [c) pont] erről nyilatkozik a bevallási nyomtatvány főlap VI. pont  </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c)</w:t>
      </w:r>
      <w:r w:rsidRPr="00AB058D">
        <w:rPr>
          <w:rFonts w:ascii="Arial" w:eastAsia="Arial" w:hAnsi="Arial" w:cs="Arial"/>
          <w:color w:val="1A171C"/>
          <w:sz w:val="24"/>
        </w:rPr>
        <w:t xml:space="preserve"> </w:t>
      </w:r>
      <w:r w:rsidRPr="00AB058D">
        <w:rPr>
          <w:rFonts w:ascii="Times New Roman" w:eastAsia="Times New Roman" w:hAnsi="Times New Roman" w:cs="Times New Roman"/>
          <w:color w:val="1A171C"/>
          <w:sz w:val="24"/>
        </w:rPr>
        <w:t>alpontnál X tételével,</w:t>
      </w:r>
      <w:r w:rsidRPr="00AB058D">
        <w:rPr>
          <w:rFonts w:ascii="Times New Roman" w:eastAsia="Times New Roman" w:hAnsi="Times New Roman" w:cs="Times New Roman"/>
          <w:sz w:val="24"/>
        </w:rPr>
        <w:t xml:space="preserve"> </w:t>
      </w:r>
    </w:p>
    <w:p w:rsidR="00AB058D" w:rsidRPr="00AB058D" w:rsidRDefault="00AB058D" w:rsidP="00AB058D">
      <w:pPr>
        <w:numPr>
          <w:ilvl w:val="0"/>
          <w:numId w:val="9"/>
        </w:numPr>
        <w:spacing w:after="153" w:line="321"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tételes adóalap szerint (székhely, illetve telephely településenként 2,5-2,5 millió forint adóalap alapján) adózik, ezen adóalap-megállapítási mód adóévre történt választásáról a korábban benyújtott bejelentkezésében vagy változás-bejelentésében már nyilatkozott, ezért az esetleges adóbevallásban ismételt nyilatkozatétel nem terheli.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A VII. 1. sorban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egyszerűsített adóalap-megállapítást választó átalányadózó esetén az átalányadó alapját, a VII. 6. sorban pedig az átalányadó 1,2-vel szorzott összegét, azaz az iparűzési adó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eva alanya esetén az eva alapját, a VII. 6. sorban pedig az eva-alap felét, azaz az iparűzési adó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tételes adóalap szerint adózó kata-alanynak az 1. sort üresen kell hagynia, míg a VII. 6. sorban székhelye és valamennyi telephelye után 2,5 millió forintot. Ha valamely - székhely, telephely szerinti -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nettó árbevétel 80%-ában való egyszerűsített adóalap-megállapítást választó bármely - 8 millió forintot meg nem haladó nettó árbevételű - vállalkozó esetén az„A" jelű betétlapon levezetett (kiszámított) nettó árbevétel összegét, a VII. 6. pont alatt pedig a nettó árbevétel 80%-ának, azaz az adóalap összegét,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egyszerűsített adóalap-megállapítást választó kisvállalati adó alanyának a kisvállalati adó alapjának összegét, a VII. 6. sorban pedig ennek 1,2-vel szorzott összegét, azaz az iparűzési adó alapját.</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1693"/>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VII.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Az adó kiszámítása</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levezetni. </w:t>
      </w:r>
      <w:r w:rsidRPr="00AB058D">
        <w:rPr>
          <w:rFonts w:ascii="Times New Roman" w:eastAsia="Times New Roman" w:hAnsi="Times New Roman" w:cs="Times New Roman"/>
          <w:b/>
          <w:color w:val="1A171C"/>
          <w:sz w:val="24"/>
        </w:rPr>
        <w:t>Ezért elsőként a vonatkozó betétlap 1. sorát, illetve az annak meghatározásához szükséges alsorokat kell kitölteni! Az adott betétlapon szereplő (kiszámított, összegző) 1. sor összegét kell itt feltüntetni.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egyszerűsített adóalap-megállapítást választó adóalanyoknak ezt a sort a VI. pontban leírtak szerint kell kitölteni, azzal, hogy az „A"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Itt kell feltüntetni az alvállalkozói teljesítések értékét [Htv. 52. § 32. pont; 40/I. §]. Alvállalkozói teljesítésről akkor lehet szó, ha az adózó mind a megrendelővel, mind a közreműködő alvállalkozóval a Polgári Törvénykönyv szerinti - írásban kötött -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w:t>
      </w:r>
      <w:r w:rsidRPr="00AB058D">
        <w:rPr>
          <w:rFonts w:ascii="Times New Roman" w:eastAsia="Times New Roman" w:hAnsi="Times New Roman" w:cs="Times New Roman"/>
          <w:color w:val="1A171C"/>
          <w:sz w:val="24"/>
        </w:rPr>
        <w:lastRenderedPageBreak/>
        <w:t>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szerepeltetni a vállalkozási szintű - nettó árbevétel-csökkentő - anyagköltség összegét, amely a Htv. 52. §-ának 37. pontja, illetve - éves beszámolójukat az IFRS-ek szerint készítő vállalkozók esetén – a Htv. 40/G. §-a szerinti érték. Az anyagköltség - egy kivétellel - a számviteli törvény szerint (az adóévben) elszámolt anyagköltséggel egyezik meg a számviteli törvény hatálya alá tartozó vállalkozók esetében. A személyi jövedelemadóról szóló törvény hatálya alá tartozó vállalkozó esetén a tárgyévben anyagbeszerzésre fordított kiadás a számviteli törvény szerinti vásárolt anyagok (alap- segéd-, üzem-, fűtőanyag, tartalék alkatrész, egy éven belül elhasználódó szerszámok, eszközök, berendezések) tárgyévi költségét jelenti. Az egyszeres könyvvitelt vezető vagy pénzforgalmi nyilvántartást vezető adózók esetében a tárgyévi anyagbeszerzésre fordított kiadást növelni kell a tárgyévi kifizetett leltári nyitókészlettel és csökkenteni a tárgyévi kifizetett leltári zárókészlet értékével.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éves beszámolóját az IFRS-ek szerint készítő vállalkozás esetében anyagköltség a Htv. 52. § 67. pontja szerinti anyag üzleti évben ráfordításként elszámolt - Htv. 40/G. § (2) és (3) bekezdés szerint korrigált - felhasználáskori könyv szerinti értéke. Az anyagköltség összegét csökkenteni kell a saját vállalkozásban végzett beruházáshoz felhasznált anyagok - anyagköltségként elszámolt - bekerülési értékével, továbbá azzal az értékkel, amellyel az adóalany a Htv. 52. § 32. pont szerint alvállalkozói teljesítések értékeként, az 52. § 36. pont vagy 40/F. §-a szerint eladott áruk beszerzési értékeként, az 52. § 40. pont és a 40/H. § együttes értelmezése szerinti közvetített szolgáltatások értékeként nettó árbevételét csökkentette.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1"/>
        </w:numPr>
        <w:spacing w:after="163"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Ez a sor szolgál a Htv. szerinti, vállalkozási szintű iparűzési adóalap megállapítására, függetlenül a tevékenység végzésének helyétől. A Htv. szerinti vállalkozási szintű adóalap megállapításához az 1. sor (nettó árbevétel) összegéből kell levonni a 2. sorban, a 3. sorban, a 4. sorban, és az 5. sorban feltüntetett nettó árbevétel-csökkentő tételek együttes összegét. Ha az 1. sor összegét </w:t>
      </w:r>
      <w:r w:rsidRPr="00AB058D">
        <w:rPr>
          <w:rFonts w:ascii="Times New Roman" w:eastAsia="Times New Roman" w:hAnsi="Times New Roman" w:cs="Times New Roman"/>
          <w:b/>
          <w:color w:val="1A171C"/>
          <w:sz w:val="24"/>
        </w:rPr>
        <w:t xml:space="preserve">eléri vagy meghaladja </w:t>
      </w:r>
      <w:r w:rsidRPr="00AB058D">
        <w:rPr>
          <w:rFonts w:ascii="Times New Roman" w:eastAsia="Times New Roman" w:hAnsi="Times New Roman" w:cs="Times New Roman"/>
          <w:color w:val="1A171C"/>
          <w:sz w:val="24"/>
        </w:rPr>
        <w:t xml:space="preserve">a 2. sor, a 3. sor, a 4. sor és az 5. sor számadatainak együttes összege, akkor ebben a sorban </w:t>
      </w:r>
      <w:r w:rsidRPr="00AB058D">
        <w:rPr>
          <w:rFonts w:ascii="Times New Roman" w:eastAsia="Times New Roman" w:hAnsi="Times New Roman" w:cs="Times New Roman"/>
          <w:b/>
          <w:color w:val="1A171C"/>
          <w:sz w:val="24"/>
        </w:rPr>
        <w:t>„0”-t kell szerepeltetni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Ebben az esetben a 12. sorba, 13. sorba, 16. sorba, 17. sorba és 25. sorba egyaránt „0"-t kell írni, feltéve, ha a 11. sorban (foglalkoztatás csökkentéséhez kapcsolódó adóalap-növekmény) szerepel összeg, és az több, mint az 1. sorban feltüntetett összeg és a 2-5. sorokban összesen feltüntetett összeg különbözete.</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Abban az esetben, ha a vállalkozónak az „E" jelű betétlap III. részét kell kitöltenie, akkor ezen sor értéke a (az „E" jelű betétlap III. pontja alatt kiszámított) III. 11. sorban feltüntetett összeggel egyezik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IFRS-t alkalmazó vállalkozóknak az áttérés adóévében és az azt követő adóévben figyelemmel kell lenniük a Htv. 40/K. §-ának (1) bekezdésére. Eszerint ugyanis, ha az áttérés adóévének vagy az áttérés adóévét követő adóévnek (a továbbiakban együtt: átmeneti adóévek) az iparűzési adóalapja [39. §] a 40/B40/I. §-ok és 40/J. § (1) bekezdés alkalmazásával kisebb, mint az áttérés adóévét megelőző adóév 12 hónapra számított adóalapjának összege, akkor az átmeneti adóévek adóalapja - a (2) bekezdésben foglalt kivétellel - az utóbbi. Így, ha az előbbi feltétel teljesül, ebben a sorban az előző adóévi vállalkozási szintű adóalap összegét kell feltüntetni.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Az egyszerűsített adóalap-megállapítást választó: a) személyi jövedelemadóról szóló törvény szerinti átalányadózó vállalkozónak, b) eva-alanynak, c) tételes adóalap szerint adózó kata alanynak, d) 8 millió forint adóévi - 12 hónapnál rövidebb adóév esetén napi arányosítással számítva a 8 millió forint időarányos részét el nem érő - nettó árbevételt meg nem haladó árbevételű vállalkozónak, e) kisvállalati adóalanynak a sor értékét a VI. pontban említettek szerint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Ha a kata-alany a helyi iparűzési adóban tételes adóalap szerinti (egyszerűsített) adózási módot választott és bevallásbenyújtásra kötelezett vagy bevallást nyújt be [lásd I. 2. és 10. pontokhoz írtakat], akkor itt kell feltüntetni az adóévi adó alapjának összegét, esetében az 1-5. sorokat nem kell kitölteni.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Az Art. 3. §-a (2) bekezdésének első fordulata értelmében a szokásos piaci ártól eltérő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Amennyiben a szokásos piaci ár miatti korrekció hatása összességében negatív, azaz a nettó árbevételt (adóalapot) csökkenti, úgy annak értékét a negatív előjellel kell feltüntetni e sor kitöltésekor.</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Htv. 40/J. §-ának (1) bekezdése áttérési különbözet számítását írja elő a beszámolójukat első ízben az IFRS-ek szerint készítő vállalkozók részére. Ennek oka, hogy egyes tranzakciókat a magyar számvitel és az IFRS-ek eltérő időpontokban sorolnak a bevételek közé, illetve az egyes, nettó árbevételt csökkentő tételek elszámolása is eltérő időszakra eshet a két számviteli rendszerben. A szabályozás értelmében az áttérést megelőző bármely adóévben figyelembe nem vett nettó árbevétel és figyelembe vett árbevételcsökkentő tényező akkor képez az áttérés adóévében pozitív áttérési különbözetet, ha ezen tételek az IFRSek alkalmazásával sem az áttérés adóévében, sem az azt követő bármely adóévben nem jelennek meg az adóalap részeként vagy ismételten adóalap-csökkentő tényezőként jelennek meg. Mindez csak akkor alkalmazandó, ha a vállalkozó nem tért volna át az IFRS-ekre, s ezen tételek megfelelő elszámolása a helyi iparűzési adó alapját - az áttérés adóévében vagy azt követően - növelné. Az áttérési különbözet negatív irányú (adóalap-csökkentő hatású), ha az árbevétel az áttérés adóévét megelőzően és az áttérés adóévében vagy azt követően is egyaránt része az adóalapnak, vagy ha az egyébként nettó árbevétel-csökkentő tényezőt sem az áttérés évét megelőzően, sem az áttérés évében vagy azt követően nem lehet ekként figyelembe venni az adóalap-számítás során. Ha az áttérési különbözet értéke negatív, ezt a tényt, vagyis az összeg előjelét is fel kell tüntetni e sorban. </w:t>
      </w:r>
      <w:r w:rsidRPr="00AB058D">
        <w:rPr>
          <w:rFonts w:ascii="Times New Roman" w:eastAsia="Times New Roman" w:hAnsi="Times New Roman" w:cs="Times New Roman"/>
          <w:i/>
          <w:color w:val="1A171C"/>
          <w:sz w:val="24"/>
        </w:rPr>
        <w:t>[Részletezés az „I" jelű betétlapon!]</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 beszámolójukat az IFRS-ek szerinti készítő vállalkozások esetén a Htv. 40/J. §-ának (2) bekezdése szerinti számviteli önellenőrzési különbözet bemutatására vonatkozó sor (+,-). A negatív előjelű különbözetet a bevallási nyomtatványon természetesen a negatív előjellel együttesen kell feltüntetni.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vállalkozó az általa foglalkoztatottak éves átlagos statisztikai állományi létszámának előző adóévhez képest bekövetkező növekménye után 1 millió forint/fő összeggel csökkentheti az iparűzési adó alapját (pl.: ha az évi létszám-növekmény 5,36 fő, akkor 5,36 x 1 000 000 Ft, azaz 5 360 000 Ft adóalapcsökkentés vehető igénybe). Az átlagos statisztikai létszámot a Központi Statisztikai Hivatal Útmutató az intézményi munkaügyi statisztika kérdőíve kitöltéséhez c. kiadvány 2015. január 1. napján érvényes szabályai szerint kell - két tizedesjegy pontossággal - számítani. Az adóévi átlagos statisztikai állományi létszám számítása során figyelmen kívül kell hagyni azt, aki egyébként az átlagos statisztikai állományi létszámba tartozik, ám állományba kerülését közvetlenül megelőzően a vállalkozóval a Tao. tv. szerint kapcsolt vállalkozásnak minősülő vállalkozásnál tartozott az átlagos statisztikai állományi létszámba. Nem vehető igénybe az adóalap-mentesség olyan létszámbővítéshez, amely állami támogatás igénybevételével jött </w:t>
      </w:r>
      <w:r w:rsidRPr="00AB058D">
        <w:rPr>
          <w:rFonts w:ascii="Times New Roman" w:eastAsia="Times New Roman" w:hAnsi="Times New Roman" w:cs="Times New Roman"/>
          <w:color w:val="1A171C"/>
          <w:sz w:val="24"/>
        </w:rPr>
        <w:lastRenderedPageBreak/>
        <w:t>létre. Állami támogatásnak tekintendő a Nemzeti Foglalkoztatási Alapból folyósított olyan támogatás, amelynek feltétele új munkahely létesítése.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Ha az adóévben a vállalkozó átlagos statisztikai állományi létszáma az előző adóév átlagos statisztikai állományához képest 5%-ot meghaladó mértékben csökken és a vállalkozó az előző adóévben e jogcímen igénybe vett adóalap-mentességet, akkor az adóévet megelőző adóévre igénybe vett adóalapmentesség összegével az adóalapot meg kell növelni.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ún. „korrigált" Htv. szerinti adóalap sorban a 6. sorban rögzített adóalap összegének a foglalkoztatás után járó adóalap-mentesség összegével csökkentett, a foglalkoztatás csökkentéséhez kapcsolódó adóalap-növekménnyel növelt, valamint a szokásos piaci árra való kiegészítés miatt (pozitív/negatív előjel szerint) korrigált, illetve az IFRS-t alkalmazó vállalkozónál (pozitív/negatív előjelű) áttérési különbözetet, önellenőrzési különbözetet figyelembe vevő vállalkozási szintű iparűzési adóalap összegét kell itt feltüntetni. Abban az esetben, ha a vállalkozót több önkormányzat illetékességi területén terheli állandó jellegű iparűzési tevékenység utáni adókötelezettség (székhelyén kívül legalább egy településen telephelyet tart fenn), </w:t>
      </w:r>
      <w:r w:rsidRPr="00AB058D">
        <w:rPr>
          <w:rFonts w:ascii="Times New Roman" w:eastAsia="Times New Roman" w:hAnsi="Times New Roman" w:cs="Times New Roman"/>
          <w:b/>
          <w:color w:val="1A171C"/>
          <w:sz w:val="24"/>
        </w:rPr>
        <w:t xml:space="preserve">akkor ezt az összeget kell - az adóalap-megosztásra irányadó szabályok szerint - megosztani </w:t>
      </w:r>
      <w:r w:rsidRPr="00AB058D">
        <w:rPr>
          <w:rFonts w:ascii="Times New Roman" w:eastAsia="Times New Roman" w:hAnsi="Times New Roman" w:cs="Times New Roman"/>
          <w:color w:val="1A171C"/>
          <w:sz w:val="24"/>
        </w:rPr>
        <w:t xml:space="preserve">az egyes települések között. </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Itt kell feltüntetni a </w:t>
      </w:r>
      <w:r w:rsidRPr="00AB058D">
        <w:rPr>
          <w:rFonts w:ascii="Times New Roman" w:eastAsia="Times New Roman" w:hAnsi="Times New Roman" w:cs="Times New Roman"/>
          <w:b/>
          <w:color w:val="1A171C"/>
          <w:sz w:val="24"/>
        </w:rPr>
        <w:t>12. sorban</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szereplő vállalkozási szintű </w:t>
      </w:r>
      <w:r w:rsidRPr="00AB058D">
        <w:rPr>
          <w:rFonts w:ascii="Times New Roman" w:eastAsia="Times New Roman" w:hAnsi="Times New Roman" w:cs="Times New Roman"/>
          <w:b/>
          <w:color w:val="1A171C"/>
          <w:sz w:val="24"/>
        </w:rPr>
        <w:t xml:space="preserve">adóalap megosztása </w:t>
      </w:r>
      <w:r w:rsidRPr="00AB058D">
        <w:rPr>
          <w:rFonts w:ascii="Times New Roman" w:eastAsia="Times New Roman" w:hAnsi="Times New Roman" w:cs="Times New Roman"/>
          <w:color w:val="1A171C"/>
          <w:sz w:val="24"/>
        </w:rPr>
        <w:t xml:space="preserve">eredményeként előálló – törvényi szabályok szerinti – </w:t>
      </w:r>
      <w:r w:rsidRPr="00AB058D">
        <w:rPr>
          <w:rFonts w:ascii="Times New Roman" w:eastAsia="Times New Roman" w:hAnsi="Times New Roman" w:cs="Times New Roman"/>
          <w:b/>
          <w:color w:val="1A171C"/>
          <w:sz w:val="24"/>
        </w:rPr>
        <w:t>települési szintű adóalapot</w:t>
      </w:r>
      <w:r w:rsidRPr="00AB058D">
        <w:rPr>
          <w:rFonts w:ascii="Times New Roman" w:eastAsia="Times New Roman" w:hAnsi="Times New Roman" w:cs="Times New Roman"/>
          <w:color w:val="1A171C"/>
          <w:sz w:val="24"/>
        </w:rPr>
        <w:t>. A megosztást a Htv. melléklete szerint kell elvégezni, azt a megosztási módszert alkalmazva, ami a tevékenységre a leginkább jellemző, a megosztással érintett településre 0 forint adóalaprész azonban nem állapítható meg. Természetesen abban az esetben, ha a vállalkozót nem terheli adóalap-megosztási kötelezettség (székhelye szerinti településen kívül, más önkormányzat illetékességi területén nincs telephelye), akkor az ezen sorban szereplő összeg megegyezik a 12. sorban szereplő összeggel.</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193" w:line="27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w:t>
      </w:r>
      <w:r w:rsidR="002A0A54" w:rsidRPr="002A0A54">
        <w:rPr>
          <w:rFonts w:ascii="Times New Roman" w:hAnsi="Times New Roman" w:cs="Times New Roman"/>
          <w:sz w:val="24"/>
          <w:szCs w:val="24"/>
        </w:rPr>
        <w:t xml:space="preserve"> </w:t>
      </w:r>
      <w:r w:rsidR="002A0A54" w:rsidRPr="00FA47EF">
        <w:rPr>
          <w:rFonts w:ascii="Times New Roman" w:hAnsi="Times New Roman" w:cs="Times New Roman"/>
          <w:sz w:val="24"/>
          <w:szCs w:val="24"/>
        </w:rPr>
        <w:t>Cs</w:t>
      </w:r>
      <w:r w:rsidR="002A0A54">
        <w:rPr>
          <w:rFonts w:ascii="Times New Roman" w:hAnsi="Times New Roman" w:cs="Times New Roman"/>
          <w:sz w:val="24"/>
          <w:szCs w:val="24"/>
        </w:rPr>
        <w:t>ér</w:t>
      </w:r>
      <w:r w:rsidR="002A0A54" w:rsidRPr="00FA47EF">
        <w:rPr>
          <w:rFonts w:ascii="Times New Roman" w:hAnsi="Times New Roman" w:cs="Times New Roman"/>
          <w:sz w:val="24"/>
          <w:szCs w:val="24"/>
        </w:rPr>
        <w:t xml:space="preserve"> </w:t>
      </w:r>
      <w:r w:rsidR="002A0A54">
        <w:rPr>
          <w:rFonts w:ascii="Times New Roman" w:hAnsi="Times New Roman" w:cs="Times New Roman"/>
          <w:sz w:val="24"/>
          <w:szCs w:val="24"/>
        </w:rPr>
        <w:t xml:space="preserve">Község </w:t>
      </w:r>
      <w:r w:rsidR="002A0A54" w:rsidRPr="00FA47EF">
        <w:rPr>
          <w:rFonts w:ascii="Times New Roman" w:hAnsi="Times New Roman" w:cs="Times New Roman"/>
          <w:sz w:val="24"/>
          <w:szCs w:val="24"/>
        </w:rPr>
        <w:t xml:space="preserve">Önkormányzat Képviselő-testületének </w:t>
      </w:r>
      <w:r w:rsidR="002A0A54">
        <w:rPr>
          <w:rFonts w:ascii="Times New Roman" w:hAnsi="Times New Roman" w:cs="Times New Roman"/>
          <w:sz w:val="24"/>
          <w:szCs w:val="24"/>
        </w:rPr>
        <w:t>3</w:t>
      </w:r>
      <w:r w:rsidR="002A0A54" w:rsidRPr="00FA47EF">
        <w:rPr>
          <w:rFonts w:ascii="Times New Roman" w:hAnsi="Times New Roman" w:cs="Times New Roman"/>
          <w:sz w:val="24"/>
          <w:szCs w:val="24"/>
        </w:rPr>
        <w:t>/201</w:t>
      </w:r>
      <w:r w:rsidR="002A0A54">
        <w:rPr>
          <w:rFonts w:ascii="Times New Roman" w:hAnsi="Times New Roman" w:cs="Times New Roman"/>
          <w:sz w:val="24"/>
          <w:szCs w:val="24"/>
        </w:rPr>
        <w:t>1</w:t>
      </w:r>
      <w:r w:rsidR="002A0A54" w:rsidRPr="00FA47EF">
        <w:rPr>
          <w:rFonts w:ascii="Times New Roman" w:hAnsi="Times New Roman" w:cs="Times New Roman"/>
          <w:sz w:val="24"/>
          <w:szCs w:val="24"/>
        </w:rPr>
        <w:t>.(III.1.) önkormányzati rendelete</w:t>
      </w:r>
      <w:r w:rsidRPr="00AB058D">
        <w:rPr>
          <w:rFonts w:ascii="Times New Roman" w:eastAsia="Times New Roman" w:hAnsi="Times New Roman" w:cs="Times New Roman"/>
          <w:color w:val="1A171C"/>
          <w:sz w:val="24"/>
        </w:rPr>
        <w:t xml:space="preserve"> </w:t>
      </w:r>
      <w:r w:rsidR="0078364E" w:rsidRPr="00CA4E8D">
        <w:rPr>
          <w:rFonts w:ascii="Times New Roman" w:eastAsia="Times New Roman" w:hAnsi="Times New Roman" w:cs="Times New Roman"/>
          <w:color w:val="1A171C"/>
          <w:sz w:val="24"/>
          <w:szCs w:val="24"/>
        </w:rPr>
        <w:t xml:space="preserve">alapján </w:t>
      </w:r>
      <w:r w:rsidR="0078364E" w:rsidRPr="00CA4E8D">
        <w:rPr>
          <w:rFonts w:ascii="Times New Roman" w:hAnsi="Times New Roman" w:cs="Times New Roman"/>
          <w:sz w:val="24"/>
          <w:szCs w:val="24"/>
        </w:rPr>
        <w:t>adómentesség illeti meg azt a vállalkozót, amelynek a helyi adókról szóló tv. alapján a számított vállalkozási adóalapja nem haladja meg a 2,5 mi</w:t>
      </w:r>
      <w:r w:rsidR="00CA4E8D">
        <w:rPr>
          <w:rFonts w:ascii="Times New Roman" w:hAnsi="Times New Roman" w:cs="Times New Roman"/>
          <w:sz w:val="24"/>
          <w:szCs w:val="24"/>
        </w:rPr>
        <w:t>l</w:t>
      </w:r>
      <w:r w:rsidR="0078364E" w:rsidRPr="00CA4E8D">
        <w:rPr>
          <w:rFonts w:ascii="Times New Roman" w:hAnsi="Times New Roman" w:cs="Times New Roman"/>
          <w:sz w:val="24"/>
          <w:szCs w:val="24"/>
        </w:rPr>
        <w:t>lió Ft-ot</w:t>
      </w:r>
      <w:r w:rsidR="00CA4E8D" w:rsidRPr="00CA4E8D">
        <w:rPr>
          <w:rFonts w:ascii="Times New Roman" w:hAnsi="Times New Roman" w:cs="Times New Roman"/>
          <w:sz w:val="24"/>
          <w:szCs w:val="24"/>
        </w:rPr>
        <w:t>.</w:t>
      </w:r>
      <w:r w:rsidR="00CA4E8D">
        <w:t xml:space="preserve"> </w:t>
      </w:r>
      <w:r w:rsidRPr="00AB058D">
        <w:rPr>
          <w:rFonts w:ascii="Times New Roman" w:eastAsia="Times New Roman" w:hAnsi="Times New Roman" w:cs="Times New Roman"/>
          <w:color w:val="1A171C"/>
          <w:sz w:val="24"/>
        </w:rPr>
        <w:t xml:space="preserve">Itt kell feltüntetni azon - az adóévben igénybe vehető - adóalap-mentesség összegét, </w:t>
      </w:r>
      <w:r w:rsidRPr="00AB058D">
        <w:rPr>
          <w:rFonts w:ascii="Times New Roman" w:eastAsia="Times New Roman" w:hAnsi="Times New Roman" w:cs="Times New Roman"/>
          <w:b/>
          <w:color w:val="1A171C"/>
          <w:sz w:val="24"/>
        </w:rPr>
        <w:t xml:space="preserve">amely a települési adóalap összegét </w:t>
      </w:r>
      <w:r w:rsidRPr="00AB058D">
        <w:rPr>
          <w:rFonts w:ascii="Times New Roman" w:eastAsia="Times New Roman" w:hAnsi="Times New Roman" w:cs="Times New Roman"/>
          <w:color w:val="1A171C"/>
          <w:sz w:val="24"/>
        </w:rPr>
        <w:t>csökkenti.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Ha az önkormányzat iparűzési adót szabályozó rendelete a háziorvos (ide értendő a házi gyermekorvos, fogorvos is) és a védőnő számára adóalap-mentességet állapít meg, akkor annak - legfeljebb 20 millió Ft - összegét kell ebben a sorban feltüntetni. </w:t>
      </w:r>
      <w:r>
        <w:rPr>
          <w:rFonts w:ascii="Times New Roman" w:eastAsia="Times New Roman" w:hAnsi="Times New Roman" w:cs="Times New Roman"/>
          <w:color w:val="1A171C"/>
          <w:sz w:val="24"/>
        </w:rPr>
        <w:t>Cs</w:t>
      </w:r>
      <w:r w:rsidR="00CA4E8D">
        <w:rPr>
          <w:rFonts w:ascii="Times New Roman" w:eastAsia="Times New Roman" w:hAnsi="Times New Roman" w:cs="Times New Roman"/>
          <w:color w:val="1A171C"/>
          <w:sz w:val="24"/>
        </w:rPr>
        <w:t>ér</w:t>
      </w:r>
      <w:r>
        <w:rPr>
          <w:rFonts w:ascii="Times New Roman" w:eastAsia="Times New Roman" w:hAnsi="Times New Roman" w:cs="Times New Roman"/>
          <w:color w:val="1A171C"/>
          <w:sz w:val="24"/>
        </w:rPr>
        <w:t xml:space="preserve"> Községi Önkormányzat </w:t>
      </w:r>
      <w:r w:rsidR="003A030F">
        <w:rPr>
          <w:rFonts w:ascii="Times New Roman" w:eastAsia="Times New Roman" w:hAnsi="Times New Roman" w:cs="Times New Roman"/>
          <w:color w:val="1A171C"/>
          <w:sz w:val="24"/>
        </w:rPr>
        <w:t>rendelet</w:t>
      </w:r>
      <w:r w:rsidR="00E93995">
        <w:rPr>
          <w:rFonts w:ascii="Times New Roman" w:eastAsia="Times New Roman" w:hAnsi="Times New Roman" w:cs="Times New Roman"/>
          <w:color w:val="1A171C"/>
          <w:sz w:val="24"/>
        </w:rPr>
        <w:t>ében</w:t>
      </w:r>
      <w:r w:rsidR="003A030F">
        <w:rPr>
          <w:rFonts w:ascii="Times New Roman" w:eastAsia="Times New Roman" w:hAnsi="Times New Roman" w:cs="Times New Roman"/>
          <w:color w:val="1A171C"/>
          <w:sz w:val="24"/>
        </w:rPr>
        <w:t xml:space="preserve"> ilyen mentesség</w:t>
      </w:r>
      <w:r w:rsidR="00E93995">
        <w:rPr>
          <w:rFonts w:ascii="Times New Roman" w:eastAsia="Times New Roman" w:hAnsi="Times New Roman" w:cs="Times New Roman"/>
          <w:color w:val="1A171C"/>
          <w:sz w:val="24"/>
        </w:rPr>
        <w:t xml:space="preserve"> nem került megállapításra. </w:t>
      </w:r>
    </w:p>
    <w:p w:rsidR="00AB058D" w:rsidRPr="00AB058D" w:rsidRDefault="00AB058D" w:rsidP="00AB058D">
      <w:pPr>
        <w:spacing w:after="207" w:line="269" w:lineRule="auto"/>
        <w:ind w:left="0" w:right="0" w:firstLine="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16. sor: </w:t>
      </w:r>
      <w:r w:rsidRPr="00AB058D">
        <w:rPr>
          <w:rFonts w:ascii="Times New Roman" w:eastAsia="Times New Roman" w:hAnsi="Times New Roman" w:cs="Times New Roman"/>
          <w:color w:val="1A171C"/>
          <w:sz w:val="24"/>
        </w:rPr>
        <w:t xml:space="preserve">Ez a bevallási sor a települési adóköteles adóalap megállapítására szolgál. A települési adóalap (13. sor) összegéből le kell vonni az adómentes adóalap-részek (14. és 15. sor) összegét. Abban az esetben, ha a </w:t>
      </w:r>
      <w:r w:rsidRPr="00AB058D">
        <w:rPr>
          <w:rFonts w:ascii="Times New Roman" w:eastAsia="Times New Roman" w:hAnsi="Times New Roman" w:cs="Times New Roman"/>
          <w:b/>
          <w:color w:val="1A171C"/>
          <w:sz w:val="24"/>
        </w:rPr>
        <w:t>14. és a 15. sor együttes összege eléri vagy meghaladja a 13. sor összegét, akkor itt „0”-t kell feltüntetni</w:t>
      </w:r>
      <w:r w:rsidRPr="00AB058D">
        <w:rPr>
          <w:rFonts w:ascii="Times New Roman" w:eastAsia="Times New Roman" w:hAnsi="Times New Roman" w:cs="Times New Roman"/>
          <w:color w:val="1A171C"/>
          <w:sz w:val="24"/>
        </w:rPr>
        <w:t>. Ekkor a 17. sorba, és a 25. sorba egyaránt „0" (nulla) forintot kell írni.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3"/>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Az adóköteles települési adóalapra jutó adó összegét kell itt feltüntetni, a települési önkormányzati rendelet szerinti adóévi adómérték alapulvételével. </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3"/>
        </w:numPr>
        <w:spacing w:after="15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A települési önkormányzat helyi adó rendeletében adókedvezményben (adócsökkentésben) részesítheti a 2,5 millió Ft vállalkozási szintű adóalapot el nem érő vállalkozókat [az adókedvezmény az adó %-ában (0-100% között)] fejezhető ki. Ebben a sorban </w:t>
      </w:r>
      <w:r w:rsidRPr="00AB058D">
        <w:rPr>
          <w:rFonts w:ascii="Times New Roman" w:eastAsia="Times New Roman" w:hAnsi="Times New Roman" w:cs="Times New Roman"/>
          <w:b/>
          <w:color w:val="1A171C"/>
          <w:sz w:val="24"/>
        </w:rPr>
        <w:t xml:space="preserve">az adót csökkentő kedvezmény </w:t>
      </w:r>
      <w:r w:rsidRPr="00AB058D">
        <w:rPr>
          <w:rFonts w:ascii="Times New Roman" w:eastAsia="Times New Roman" w:hAnsi="Times New Roman" w:cs="Times New Roman"/>
          <w:color w:val="1A171C"/>
          <w:sz w:val="24"/>
        </w:rPr>
        <w:t>összegét kell feltüntetni. Ha az önkormányzat ilyen kedvezményt nem iktatatott rendeletébe, akkor itt összeget nem lehet feltüntetni.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19. sor: </w:t>
      </w:r>
      <w:r w:rsidRPr="00AB058D">
        <w:rPr>
          <w:rFonts w:ascii="Times New Roman" w:eastAsia="Times New Roman" w:hAnsi="Times New Roman" w:cs="Times New Roman"/>
          <w:color w:val="1A171C"/>
          <w:sz w:val="24"/>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w:t>
      </w:r>
      <w:r w:rsidRPr="00AB058D">
        <w:rPr>
          <w:rFonts w:ascii="Times New Roman" w:eastAsia="Times New Roman" w:hAnsi="Times New Roman" w:cs="Times New Roman"/>
          <w:color w:val="1A171C"/>
          <w:sz w:val="24"/>
        </w:rPr>
        <w:lastRenderedPageBreak/>
        <w:t xml:space="preserve">tevékenység-végzésre kötött finanszírozási szerződés alapján a Egészségbiztosítási Alaptól származik. </w:t>
      </w:r>
      <w:r w:rsidRPr="00AB058D">
        <w:rPr>
          <w:rFonts w:ascii="Times New Roman" w:eastAsia="Times New Roman" w:hAnsi="Times New Roman" w:cs="Times New Roman"/>
          <w:b/>
          <w:color w:val="1A171C"/>
          <w:sz w:val="24"/>
        </w:rPr>
        <w:t>Ha az önkormányzat rendelete - a Htv. 39/C. § (4) bekezdésének felhatalmazása alapján - adókedvezményi rendelkezést nem tartalmaz, akkor itt összeget nem lehet szerepeltetni. (A települési önkormányzatok adórendeletei a honlappal rendelkező települések hivatalos oldalán, illetve a nemzeti jogszabálytár önkormányzati rendelettárában is fellelhetőek.)</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 Htv. 40/A. § (1) bekezdés a) pontja és (2) bekezdése alapján az adóévben az ideiglenes jellegű iparűzési tevékenység után megfizetett adóátalány összegét - az adóalap-megosztás arányában -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Abban az esetben, ha az önkormányzatra jutó adóátalány összege meghaladja a 17. sor összegét, akkor itt csak a 17. sorban szereplő összeget lehet feltüntetni, a településre jutó (kiszámított) adóátalány tényleges összegét (tájékoztató adatként) pedig a 26. sorban kell szerepeltetni.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Pr="00AB058D">
        <w:rPr>
          <w:rFonts w:ascii="Times New Roman" w:eastAsia="Times New Roman" w:hAnsi="Times New Roman" w:cs="Times New Roman"/>
          <w:b/>
          <w:color w:val="1A171C"/>
          <w:sz w:val="24"/>
        </w:rPr>
        <w:t>belföldi e-útdíj</w:t>
      </w:r>
      <w:r w:rsidRPr="00AB058D">
        <w:rPr>
          <w:rFonts w:ascii="Times New Roman" w:eastAsia="Times New Roman" w:hAnsi="Times New Roman" w:cs="Times New Roman"/>
          <w:color w:val="1A171C"/>
          <w:sz w:val="24"/>
        </w:rPr>
        <w:t>) a 7,5%-a. Ha a vállalkozás adóalap-megosztásra kötelezett, akkor a költségként,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belföldi e-útdíj 7,5%-ának a településre jutó összegét kell szerepeltetni.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Htv. 40/A. § (1) bekezdés b) pontja alapján a székhely, telephely szerinti önkormányzathoz az adóévre fizetendő adóból - legfeljebb annak összegéig - levonható az adóalany által a ráfordításként, költségként az adóévben elszámolt, külföldön autópályák, autóutak és főutak használatáért fizetendő, megtett úttal arányos díjnak (a továbbiakban: </w:t>
      </w:r>
      <w:r w:rsidRPr="00AB058D">
        <w:rPr>
          <w:rFonts w:ascii="Times New Roman" w:eastAsia="Times New Roman" w:hAnsi="Times New Roman" w:cs="Times New Roman"/>
          <w:b/>
          <w:color w:val="1A171C"/>
          <w:sz w:val="24"/>
        </w:rPr>
        <w:t>külföldi e-útdíj</w:t>
      </w:r>
      <w:r w:rsidRPr="00AB058D">
        <w:rPr>
          <w:rFonts w:ascii="Times New Roman" w:eastAsia="Times New Roman" w:hAnsi="Times New Roman" w:cs="Times New Roman"/>
          <w:color w:val="1A171C"/>
          <w:sz w:val="24"/>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Htv. 40/A. § (1) bekezdés b) pontja alapján a székhely, telephely szerinti önkormányzathoz az adóévre fizetendő adóból - legfeljebb annak összegéig - levonható az adóalany által a ráfordításként, költségként az adóévben elszámolt az autópályák, autóutak és főutak használatáért fizetendő használati díjnak (a továbbiakban: </w:t>
      </w:r>
      <w:r w:rsidRPr="00AB058D">
        <w:rPr>
          <w:rFonts w:ascii="Times New Roman" w:eastAsia="Times New Roman" w:hAnsi="Times New Roman" w:cs="Times New Roman"/>
          <w:b/>
          <w:color w:val="1A171C"/>
          <w:sz w:val="24"/>
        </w:rPr>
        <w:t>belföldi úthasználati díj</w:t>
      </w:r>
      <w:r w:rsidRPr="00AB058D">
        <w:rPr>
          <w:rFonts w:ascii="Times New Roman" w:eastAsia="Times New Roman" w:hAnsi="Times New Roman" w:cs="Times New Roman"/>
          <w:color w:val="1A171C"/>
          <w:sz w:val="24"/>
        </w:rPr>
        <w:t>) a 7,5%-a. A belföldi úthasználati díj (10 napos/30 napos/éves „matrica" vagy megyei „matrica") a 3,5 tonna megengedett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w:t>
      </w:r>
      <w:r w:rsidRPr="00AB058D">
        <w:rPr>
          <w:rFonts w:ascii="Times New Roman" w:eastAsia="Times New Roman" w:hAnsi="Times New Roman" w:cs="Times New Roman"/>
          <w:color w:val="1A171C"/>
          <w:sz w:val="24"/>
        </w:rPr>
        <w:lastRenderedPageBreak/>
        <w:t>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164"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Ez a sor szolgál az adóévi iparűzési adófizetési kötelezettség kiszámítására. Az adóköteles települési adóalapra vetített adó összegéből (17. sor) le kell vonni az adó összegét különféle jogcímeken csökkentő tételeket (a 18-24. sorok együttes összegét). Abban az esetben, ha az adót csökkentő tételek együttes összege eléri vagy meghaladja a 17. sor összegét, akkor itt „0"-t kell feltüntetni.</w:t>
      </w:r>
      <w:r w:rsidRPr="00AB058D">
        <w:rPr>
          <w:rFonts w:ascii="Times New Roman" w:eastAsia="Times New Roman" w:hAnsi="Times New Roman" w:cs="Times New Roman"/>
          <w:sz w:val="24"/>
        </w:rPr>
        <w:t xml:space="preserve"> </w:t>
      </w:r>
    </w:p>
    <w:p w:rsidR="00AB058D" w:rsidRPr="00AB058D" w:rsidRDefault="00AB058D" w:rsidP="00AB058D">
      <w:pPr>
        <w:spacing w:after="0" w:line="321"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26. sor: </w:t>
      </w:r>
      <w:r w:rsidRPr="00AB058D">
        <w:rPr>
          <w:rFonts w:ascii="Times New Roman" w:eastAsia="Times New Roman" w:hAnsi="Times New Roman" w:cs="Times New Roman"/>
          <w:color w:val="1A171C"/>
          <w:sz w:val="24"/>
        </w:rPr>
        <w:t xml:space="preserve">Itt kell feltüntetni az ideiglenes jellegű iparűzési tevékenység után az adóévben ténylegesen megfizetett adóátalány önkormányzatra jutó (arányos) összegét. Ez az összeg akkor egyezik meg a 20.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sorban feltüntetett összeggel, ha az kisebb a 17. sorban feltüntetett adóösszegnél vagy azzal egyenlő.</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 a megosztási szabályok szerint -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telephelyre, telephelyekre jutó adóalapot - tájékoztató adatként - e sorban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 tájékoztató adatként - feltüntetni a vállalkozás által az adóévben megfizetett (költségként, ráfordításként elszámolt) belföldi e-útdíj, külföldi e-útdíj és belföldi úthasználati díj együttes összegének 7,5%-át.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29. sor: </w:t>
      </w:r>
      <w:r w:rsidRPr="00AB058D">
        <w:rPr>
          <w:rFonts w:ascii="Times New Roman" w:eastAsia="Times New Roman" w:hAnsi="Times New Roman" w:cs="Times New Roman"/>
          <w:color w:val="1A171C"/>
          <w:sz w:val="24"/>
        </w:rPr>
        <w:t xml:space="preserve">A Htv. 39/D. § (1) bekezdése alapján a vállalkozási szintű adóalap csökkenthető az adóévi működés hónapjai alapján számított adóévi átlagos statisztikai állományi létszámnak az előző adóévi működés hónapjai alapján az előző adóévre számított átlagos statisztikai állományi létszámhoz képest bekövetkezett növekménye után 1 millió forint/fő összeggel. Ebben a sorban a létszám-növekményt főben kifejezett adatként kell szerepeltetni (Pl.: ha az e jogcímű adóalap-csökkentés 1.782.000 forint, azaz a létszámnövekmény 17,82 fő volt, akkor ez utóbbi számadatot kell beírni.) Nem vehető igénybe az adóalapmentesség azon létszámbővítéshez, amely állami támogatás igénybevételével jött létre. A Htv. 39/D. §-ának (2) bekezdése alkalmazásában állami támogatás a Nemzeti Foglalkoztatási Alapból folyósított olyan támogatás, amelynek feltétele új munkahely létesítése.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VIII.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Adóelőleg bevallása</w:t>
      </w:r>
      <w:r w:rsidRPr="00AB058D">
        <w:rPr>
          <w:rFonts w:ascii="Times New Roman" w:eastAsia="Times New Roman" w:hAnsi="Times New Roman" w:cs="Times New Roman"/>
          <w:b/>
          <w:sz w:val="24"/>
        </w:rPr>
        <w:t xml:space="preserve"> </w:t>
      </w:r>
      <w:r w:rsidRPr="00AB058D">
        <w:rPr>
          <w:rFonts w:ascii="Times New Roman" w:eastAsia="Times New Roman" w:hAnsi="Times New Roman" w:cs="Times New Roman"/>
          <w:color w:val="1A171C"/>
          <w:sz w:val="24"/>
        </w:rPr>
        <w:t xml:space="preserve">A helyi iparűzési adóban - hasonlóan a társasági adóhoz - az adóelőleget önadózással kell teljesíteni. Ez azt jelenti, hogy ebben a bevallásban kell az adózónak kiszámítania és bevallania az előlegfizetési időszak két időpontjára az adóelőleg összegét, a települési önkormányzat adóbeszedési számlájára kell megfizetni. A bevallott adóelőleg minden további intézkedés nélkül végrehajtható. Az adóbevallás – a végrehajtási eljárásban – az adóhatóság által foganatosítandó végrehajtási eljárásokról szóló 2017. évi CLIII. törvény 29. § (1) bekezdés b) pontja értelmében végrehajtható okiratnak minősül. </w:t>
      </w:r>
    </w:p>
    <w:p w:rsidR="00AB058D" w:rsidRPr="00AB058D" w:rsidRDefault="00AB058D" w:rsidP="00AB058D">
      <w:pPr>
        <w:keepNext/>
        <w:keepLines/>
        <w:spacing w:after="156"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Előlegfizetés időszaka</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előlegfizetési időszak általános esetben a bevallás benyújtás hónapját követő második hónap 1. napjától tart 12 hónapon keresztül, a 12. hónap utolsó napjáig. Az adózónak az előlegfizetési időszak első és utolsó </w:t>
      </w:r>
      <w:r w:rsidRPr="00AB058D">
        <w:rPr>
          <w:rFonts w:ascii="Times New Roman" w:eastAsia="Times New Roman" w:hAnsi="Times New Roman" w:cs="Times New Roman"/>
          <w:color w:val="1A171C"/>
          <w:sz w:val="24"/>
        </w:rPr>
        <w:lastRenderedPageBreak/>
        <w:t>napját kell beírnia a bevallás e sorába. Az előlegfizetés időszak (keresztfélév) tehát 12 hónapnyi időszakot ölel át.</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Első előlegrészlet az előlegfizetési időszakban</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első előlegrészlet esedékességének a napja az adóelőleg-fizetési időszak 3. hónapjának 15. napja. A naptári évvel egyező üzleti éves vállalkozás és magánszemély vállalkozó esetén ez a nap 2019. szeptember 15-e. Itt kell jelölni az előlegfizetés napját és az előleg összegét. Ebbe a sorba a VII. 25. sorban feltüntetett összeg és a 2019. március 15-én, a naptári évtől eltérő üzleti éves adózó esetén az adóév harmadik hónapjának 15. napján esedékes (bevallott) előlegösszeg különbözetét kell szerepeltetni. Ha az adózónak az adóév 3. hónapjának 15. napján (2019. március 15-én) nem kellett adóelőleget fizetni, akkor e sor összege a VII. 25. sorban feltüntetett összeggel egyezik meg. (Ezen bevallásbenyújtás határnapját magában foglaló előlegfizetési időszak második előlegrészleteként, azaz a 2019. március 15-ei és a következő előlegfizetési időszak első részleteként, azaz 2019. szeptember 15-ei esedékességgel fizetendő, 2019-ben kezdődő adóévi adóelőleg a VII. 25. sorba írt adóösszeggel, azaz a 2018. évben kezdődő adóévi adó összegével egyezik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Természetesen március 15-én sosem esedékes a fizetési kötelezettség, mert március 15-e nemzeti ünnepünk. Ezért a fizetési határnap mindig a március 15-ét követő első munkanap.</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56"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Második előlegrészlet az előlegfizetési időszakban</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második előlegrészlet az előlegfizetési időszak 9. hónapjának 15. napja, a naptári évvel egyező üzleti éves és magánszemély adózó esetén 2020. március 15. Ezt a napot kell beírni ezen adózói csoport esetében, amellett, hogy az adóelőleg összegét is be kell vallani. A bevallandó összeg a VII. 25. sorban szereplő adóösszeg (a 2018-ben kezdődő adóév adójának) fele. Természetesen március 15-én sosem esedékes a fizetési kötelezettség, mert március 15-e nemzeti ünnepünk. Ezért a fizetési határnap mindig a március 15-ét követő munkanap.</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14" w:line="259" w:lineRule="auto"/>
        <w:ind w:left="144" w:right="202"/>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AZ „A"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„A" jelű </w:t>
      </w:r>
      <w:r w:rsidRPr="00AB058D">
        <w:rPr>
          <w:rFonts w:ascii="Times New Roman" w:eastAsia="Times New Roman" w:hAnsi="Times New Roman" w:cs="Times New Roman"/>
          <w:color w:val="1A171C"/>
          <w:sz w:val="24"/>
        </w:rPr>
        <w:t xml:space="preserve">betétlapot azon adózóknak kell kitölteni, akik/amelyek az </w:t>
      </w:r>
      <w:r w:rsidRPr="00AB058D">
        <w:rPr>
          <w:rFonts w:ascii="Times New Roman" w:eastAsia="Times New Roman" w:hAnsi="Times New Roman" w:cs="Times New Roman"/>
          <w:b/>
          <w:color w:val="1A171C"/>
          <w:sz w:val="24"/>
        </w:rPr>
        <w:t xml:space="preserve">általános szabályok szerint </w:t>
      </w:r>
      <w:r w:rsidRPr="00AB058D">
        <w:rPr>
          <w:rFonts w:ascii="Times New Roman" w:eastAsia="Times New Roman" w:hAnsi="Times New Roman" w:cs="Times New Roman"/>
          <w:color w:val="1A171C"/>
          <w:sz w:val="24"/>
        </w:rPr>
        <w:t xml:space="preserve">állapítják meg nettó árbevételüket. Ide tartozik </w:t>
      </w:r>
      <w:r w:rsidRPr="00AB058D">
        <w:rPr>
          <w:rFonts w:ascii="Times New Roman" w:eastAsia="Times New Roman" w:hAnsi="Times New Roman" w:cs="Times New Roman"/>
          <w:b/>
          <w:color w:val="1A171C"/>
          <w:sz w:val="24"/>
        </w:rPr>
        <w:t>minden iparűzési adóalany</w:t>
      </w:r>
      <w:r w:rsidRPr="00AB058D">
        <w:rPr>
          <w:rFonts w:ascii="Times New Roman" w:eastAsia="Times New Roman" w:hAnsi="Times New Roman" w:cs="Times New Roman"/>
          <w:color w:val="1A171C"/>
          <w:sz w:val="24"/>
        </w:rPr>
        <w:t xml:space="preserve">, amely </w:t>
      </w:r>
      <w:r w:rsidRPr="00AB058D">
        <w:rPr>
          <w:rFonts w:ascii="Times New Roman" w:eastAsia="Times New Roman" w:hAnsi="Times New Roman" w:cs="Times New Roman"/>
          <w:b/>
          <w:color w:val="1A171C"/>
          <w:sz w:val="24"/>
        </w:rPr>
        <w:t xml:space="preserve">nem minősül </w:t>
      </w:r>
      <w:r w:rsidRPr="00AB058D">
        <w:rPr>
          <w:rFonts w:ascii="Times New Roman" w:eastAsia="Times New Roman" w:hAnsi="Times New Roman" w:cs="Times New Roman"/>
          <w:color w:val="1A171C"/>
          <w:sz w:val="24"/>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személyi jövedelemadóról szóló törvény szerinti átalányadózónak,</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azon eva-alanynak, aki az egyszerűsített vállalkozói adóalap 50%-ában állapítja meg adóját,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azon kata-alanynak, aki tételes adóalap szerinti adózást választott,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6"/>
        </w:numPr>
        <w:spacing w:after="16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kisvállalati adóalanynak.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 betétlapot együtt kell kezelni a bevallási főlappal,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1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levezetni a - vállalkozási szintű - nettó árbevétel összegét. A 2. sorban szereplő összegből le kell vonni a 3. sorban, a 4. sorban, az 5. sorban, valamint a 6. sorokban szereplő összeget. </w:t>
      </w:r>
      <w:r w:rsidRPr="00AB058D">
        <w:rPr>
          <w:rFonts w:ascii="Times New Roman" w:eastAsia="Times New Roman" w:hAnsi="Times New Roman" w:cs="Times New Roman"/>
          <w:b/>
          <w:color w:val="1A171C"/>
          <w:sz w:val="24"/>
        </w:rPr>
        <w:t>Ez a sor megegyezik a bevallási főlap 1. sorában feltüntetendő összeggel</w:t>
      </w: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17"/>
        </w:numPr>
        <w:spacing w:after="175"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lastRenderedPageBreak/>
        <w:t xml:space="preserve">sor: A számviteli törvény hatálya alá tartozó </w:t>
      </w:r>
      <w:r w:rsidRPr="00AB058D">
        <w:rPr>
          <w:rFonts w:ascii="Times New Roman" w:eastAsia="Times New Roman" w:hAnsi="Times New Roman" w:cs="Times New Roman"/>
          <w:color w:val="1A171C"/>
          <w:sz w:val="24"/>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A </w:t>
      </w:r>
      <w:r w:rsidRPr="00AB058D">
        <w:rPr>
          <w:rFonts w:ascii="Times New Roman" w:eastAsia="Times New Roman" w:hAnsi="Times New Roman" w:cs="Times New Roman"/>
          <w:b/>
          <w:color w:val="1A171C"/>
          <w:sz w:val="24"/>
        </w:rPr>
        <w:t xml:space="preserve">személyi jövedelemadó hatálya alá tartozó (magánszemély) adóalany esetében </w:t>
      </w:r>
      <w:r w:rsidRPr="00AB058D">
        <w:rPr>
          <w:rFonts w:ascii="Times New Roman" w:eastAsia="Times New Roman" w:hAnsi="Times New Roman" w:cs="Times New Roman"/>
          <w:color w:val="1A171C"/>
          <w:sz w:val="24"/>
        </w:rPr>
        <w:t>a tevékenységvégzéssel (termékértékesítés, szolgáltatásnyújtás) közvetlen összefüggésben kapott - általános forgalmi adó nélküli - ellenérték, növelve a kompenzációs felárral és csökkentve az adóhatósággal elszámolt regisztrációs adó összegével, feltéve, hogy azt bevételként elszámolta, továbbá azon bevétellel, amelyet a számvitelről szóló törvény alapján egyéb bevételként kellene elszámolni. (Például a tárgyi eszköz értékesítéséből származó bevétel, a különféle agrártámogatások összege nem tartozik a nettó árbevételbe).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A hatályos Htv. szerinti 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AB058D">
        <w:rPr>
          <w:rFonts w:ascii="Times New Roman" w:eastAsia="Times New Roman" w:hAnsi="Times New Roman" w:cs="Times New Roman"/>
          <w:i/>
          <w:sz w:val="24"/>
        </w:rPr>
        <w:t xml:space="preserve">. </w:t>
      </w:r>
      <w:r w:rsidRPr="00AB058D">
        <w:rPr>
          <w:rFonts w:ascii="Times New Roman" w:eastAsia="Times New Roman" w:hAnsi="Times New Roman" w:cs="Times New Roman"/>
          <w:sz w:val="24"/>
        </w:rPr>
        <w:t xml:space="preserve">A Htv. 51/B. §-ának (2)-(4) bekezdései azonban bizonyos esetekben még lehetővé teszik azt, hogy a nettó árbevétel összegét a Tao. törvény 2016. június 30-án hatályos 4. § 20. pontja szerinti – bővebb tartalmú – jogdíjbevétellel lehessen csökkenteni. </w:t>
      </w:r>
    </w:p>
    <w:p w:rsidR="00AB058D" w:rsidRPr="00AB058D" w:rsidRDefault="00AB058D" w:rsidP="00AB058D">
      <w:pPr>
        <w:numPr>
          <w:ilvl w:val="0"/>
          <w:numId w:val="1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szerepeltetni az egyéb szolgáltatások értékeként, illetve egyéb ráfordítások között kimutatott – az adóhatósággal elszámolt – jövedéki adó összegét.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szerepeltetni az egyéb ráfordítások között kimutatott, az adóhatósággal elszámolt regisztrációs adó, illetve alkoholos italok utáni népegészségügyi termékadó összegét. Ezen sorban rögzített összeget jogcím - regisztrációs adó, alkoholos italok utáni népegészségügyi termékadó - szerinti bontásban is fel kell tüntetni.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6. sor: </w:t>
      </w:r>
      <w:r w:rsidRPr="00AB058D">
        <w:rPr>
          <w:rFonts w:ascii="Times New Roman" w:eastAsia="Times New Roman" w:hAnsi="Times New Roman" w:cs="Times New Roman"/>
          <w:color w:val="1A171C"/>
          <w:sz w:val="24"/>
        </w:rPr>
        <w:t>A</w:t>
      </w:r>
      <w:r w:rsidRPr="00AB058D">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color w:val="1A171C"/>
          <w:sz w:val="24"/>
        </w:rPr>
        <w:t xml:space="preserve">külön jogszabály szerint felszámítható – árbevételként elszámolandó – felszolgálási díjat nem terheli iparűzési adó, ezért azt le kell vonni a nettó árbevételből. Ebbe a sorba a felszolgálási díj árbevételként elszámolt összeget kell beírni. </w:t>
      </w:r>
    </w:p>
    <w:p w:rsidR="00AB058D" w:rsidRPr="00AB058D" w:rsidRDefault="00AB058D" w:rsidP="00AB058D">
      <w:pPr>
        <w:spacing w:after="171" w:line="269" w:lineRule="auto"/>
        <w:ind w:left="-5" w:right="109"/>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7. sor:</w:t>
      </w:r>
      <w:r w:rsidRPr="00AB058D">
        <w:rPr>
          <w:rFonts w:ascii="Times New Roman" w:eastAsia="Times New Roman" w:hAnsi="Times New Roman" w:cs="Times New Roman"/>
          <w:color w:val="1A171C"/>
          <w:sz w:val="24"/>
        </w:rPr>
        <w:t xml:space="preserve"> 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 E vállalkozások a sporttevékenységgel összefüggésben szerzett (sportrendezvényre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 bevétele nem keletkeztet iparűzési adóalapot. Az e jogcímen adómentes bevétel feltüntetésére e sor szolgál. Egyidejűleg a II/A. nyilatkozatot is ki kell tölteni! </w:t>
      </w:r>
    </w:p>
    <w:p w:rsidR="00AB058D" w:rsidRPr="00AB058D" w:rsidRDefault="00AB058D" w:rsidP="00AB058D">
      <w:pPr>
        <w:spacing w:after="0" w:line="328" w:lineRule="auto"/>
        <w:ind w:left="-5" w:right="114"/>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 xml:space="preserve">II/A. nyilatkozat </w:t>
      </w:r>
      <w:r w:rsidRPr="00AB058D">
        <w:rPr>
          <w:rFonts w:ascii="Times New Roman" w:eastAsia="Times New Roman" w:hAnsi="Times New Roman" w:cs="Times New Roman"/>
          <w:color w:val="1A171C"/>
          <w:sz w:val="24"/>
        </w:rPr>
        <w:t xml:space="preserve">A 7. sor szerinti, sportvállalkozás által igénybe vehető nettó árbevételt csökkentő tételek miatti adócsökkenés állami támogatás. Ezért 7. sorban adatot feltüntető sportvállalkozásnak nyilatkoznia kell arról, hogy azt  </w:t>
      </w:r>
    </w:p>
    <w:p w:rsidR="00AB058D" w:rsidRPr="00AB058D" w:rsidRDefault="00AB058D" w:rsidP="00AB058D">
      <w:pPr>
        <w:numPr>
          <w:ilvl w:val="0"/>
          <w:numId w:val="19"/>
        </w:numPr>
        <w:spacing w:after="3"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de mini</w:t>
      </w:r>
      <w:r w:rsidR="003A030F">
        <w:rPr>
          <w:rFonts w:ascii="Times New Roman" w:eastAsia="Times New Roman" w:hAnsi="Times New Roman" w:cs="Times New Roman"/>
          <w:color w:val="1A171C"/>
          <w:sz w:val="24"/>
        </w:rPr>
        <w:t>mum</w:t>
      </w:r>
      <w:r w:rsidRPr="00AB058D">
        <w:rPr>
          <w:rFonts w:ascii="Times New Roman" w:eastAsia="Times New Roman" w:hAnsi="Times New Roman" w:cs="Times New Roman"/>
          <w:color w:val="1A171C"/>
          <w:sz w:val="24"/>
        </w:rPr>
        <w:t xml:space="preserve"> támogatásként vagy  </w:t>
      </w:r>
    </w:p>
    <w:p w:rsidR="00AB058D" w:rsidRPr="00AB058D" w:rsidRDefault="00AB058D" w:rsidP="00AB058D">
      <w:pPr>
        <w:numPr>
          <w:ilvl w:val="0"/>
          <w:numId w:val="19"/>
        </w:numPr>
        <w:spacing w:after="0"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csoportmentességi rendelet</w:t>
      </w:r>
      <w:r w:rsidRPr="00AB058D">
        <w:rPr>
          <w:rFonts w:ascii="Calibri" w:eastAsia="Calibri" w:hAnsi="Calibri" w:cs="Calibri"/>
          <w:color w:val="1A171C"/>
          <w:sz w:val="24"/>
          <w:vertAlign w:val="superscript"/>
        </w:rPr>
        <w:footnoteReference w:id="1"/>
      </w:r>
      <w:r w:rsidRPr="00AB058D">
        <w:rPr>
          <w:rFonts w:ascii="Times New Roman" w:eastAsia="Times New Roman" w:hAnsi="Times New Roman" w:cs="Times New Roman"/>
          <w:color w:val="1A171C"/>
          <w:sz w:val="24"/>
        </w:rPr>
        <w:t xml:space="preserve"> szabályaival összhangban  </w:t>
      </w:r>
    </w:p>
    <w:p w:rsidR="00AB058D" w:rsidRPr="00AB058D" w:rsidRDefault="00AB058D" w:rsidP="00AB058D">
      <w:pPr>
        <w:spacing w:after="0"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veszi igénybe.  </w:t>
      </w:r>
    </w:p>
    <w:p w:rsidR="00AB058D" w:rsidRPr="00AB058D" w:rsidRDefault="00AB058D" w:rsidP="00AB058D">
      <w:pPr>
        <w:spacing w:after="23"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p>
    <w:p w:rsidR="00AB058D" w:rsidRPr="00AB058D" w:rsidRDefault="00AB058D" w:rsidP="00AB058D">
      <w:pPr>
        <w:spacing w:after="1" w:line="269" w:lineRule="auto"/>
        <w:ind w:left="-5" w:right="109"/>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A de minim</w:t>
      </w:r>
      <w:r w:rsidR="003A030F">
        <w:rPr>
          <w:rFonts w:ascii="Times New Roman" w:eastAsia="Times New Roman" w:hAnsi="Times New Roman" w:cs="Times New Roman"/>
          <w:color w:val="1A171C"/>
          <w:sz w:val="24"/>
        </w:rPr>
        <w:t xml:space="preserve">um </w:t>
      </w:r>
      <w:r w:rsidRPr="00AB058D">
        <w:rPr>
          <w:rFonts w:ascii="Times New Roman" w:eastAsia="Times New Roman" w:hAnsi="Times New Roman" w:cs="Times New Roman"/>
          <w:color w:val="1A171C"/>
          <w:sz w:val="24"/>
        </w:rPr>
        <w:t xml:space="preserve">támogatás az Európai Unió működéséről szóló szerződés 107. és 108. cikkének a csekély összegű támogatásokra való alkalmazásáról szóló 2013. december 18-i 1407/2013/EU bizottsági rendelet alapján – 3 év alatt vállalkozáscsoportonként 60 millió forint összegig vehető igénybe. A csoportmentességi rendelet alapján az adóelőny a sportlétesítmények üzemeltetéséhez nyújtott működési támogatásként (a sportlétesítmény üzemeltetésének vesztesége nagyságáig, de legfeljebb éves szinten maximum 600 millió forint összegig) vehető igénybe. </w:t>
      </w:r>
    </w:p>
    <w:p w:rsidR="00AB058D" w:rsidRPr="00AB058D" w:rsidRDefault="00AB058D" w:rsidP="00AB058D">
      <w:pPr>
        <w:spacing w:after="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rPr>
        <w:t xml:space="preserve"> </w:t>
      </w:r>
      <w:r w:rsidRPr="00AB058D">
        <w:rPr>
          <w:rFonts w:ascii="Times New Roman" w:eastAsia="Times New Roman" w:hAnsi="Times New Roman" w:cs="Times New Roman"/>
          <w:color w:val="1A171C"/>
        </w:rPr>
        <w:tab/>
      </w:r>
      <w:r w:rsidRPr="00AB058D">
        <w:rPr>
          <w:rFonts w:ascii="Times New Roman" w:eastAsia="Times New Roman" w:hAnsi="Times New Roman" w:cs="Times New Roman"/>
          <w:color w:val="1A171C"/>
          <w:sz w:val="24"/>
        </w:rPr>
        <w:t xml:space="preserve"> </w:t>
      </w:r>
    </w:p>
    <w:p w:rsidR="00AB058D" w:rsidRPr="00AB058D" w:rsidRDefault="00AB058D" w:rsidP="00AB058D">
      <w:pPr>
        <w:spacing w:after="233"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p>
    <w:p w:rsidR="00AB058D" w:rsidRPr="00AB058D" w:rsidRDefault="00AB058D" w:rsidP="00AB058D">
      <w:pPr>
        <w:keepNext/>
        <w:keepLines/>
        <w:spacing w:after="214" w:line="259" w:lineRule="auto"/>
        <w:ind w:left="144" w:right="163"/>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 „B"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163"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„B" jelű </w:t>
      </w:r>
      <w:r w:rsidRPr="00AB058D">
        <w:rPr>
          <w:rFonts w:ascii="Times New Roman" w:eastAsia="Times New Roman" w:hAnsi="Times New Roman" w:cs="Times New Roman"/>
          <w:color w:val="1A171C"/>
          <w:sz w:val="24"/>
        </w:rPr>
        <w:t xml:space="preserve">betétlapot azon adózóknak kell kitölteni, amelyek </w:t>
      </w:r>
      <w:r w:rsidRPr="00AB058D">
        <w:rPr>
          <w:rFonts w:ascii="Times New Roman" w:eastAsia="Times New Roman" w:hAnsi="Times New Roman" w:cs="Times New Roman"/>
          <w:b/>
          <w:color w:val="1A171C"/>
          <w:sz w:val="24"/>
        </w:rPr>
        <w:t xml:space="preserve">hitelintézetnek vagy pénzügyi vállalkozásnak </w:t>
      </w:r>
      <w:r w:rsidRPr="00AB058D">
        <w:rPr>
          <w:rFonts w:ascii="Times New Roman" w:eastAsia="Times New Roman" w:hAnsi="Times New Roman" w:cs="Times New Roman"/>
          <w:color w:val="1A171C"/>
          <w:sz w:val="24"/>
        </w:rPr>
        <w:t>minősülnek.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 betétlapot együtt kell kezelni a bevallási főlappal,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160"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AB058D">
        <w:rPr>
          <w:rFonts w:ascii="Times New Roman" w:eastAsia="Times New Roman" w:hAnsi="Times New Roman" w:cs="Times New Roman"/>
          <w:b/>
          <w:color w:val="1A171C"/>
          <w:sz w:val="24"/>
        </w:rPr>
        <w:t xml:space="preserve">Ez a sor megegyezik a bevallási főlap 1. sorában feltüntetendő összeggel! </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2-9. sorok: </w:t>
      </w:r>
      <w:r w:rsidRPr="00AB058D">
        <w:rPr>
          <w:rFonts w:ascii="Times New Roman" w:eastAsia="Times New Roman" w:hAnsi="Times New Roman" w:cs="Times New Roman"/>
          <w:color w:val="1A171C"/>
          <w:sz w:val="24"/>
        </w:rPr>
        <w:t xml:space="preserve">Az egyes sorok a vállalkozási szintű nettó árbevétel-elemek kimutatására, a vállalkozási szintű nettó árbevétel levezetésére szolgálnak. A sorokat a számviteli törvény és a hitelintézetek, pénzügyi vállalkozások éves beszámoló készítési és könyvvezetési kötelezettségének sajátosságairól szóló 250/2000. (XII. 24.) Korm. rendelet szabályai, továbbá a 9. sor esetében a Htv. 52. § 22. pont </w:t>
      </w:r>
      <w:r w:rsidRPr="00AB058D">
        <w:rPr>
          <w:rFonts w:ascii="Times New Roman" w:eastAsia="Times New Roman" w:hAnsi="Times New Roman" w:cs="Times New Roman"/>
          <w:i/>
          <w:color w:val="1A171C"/>
          <w:sz w:val="24"/>
        </w:rPr>
        <w:t>b)</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alpontja - pénzügyi lízingbe adott eszköz után elszámolt elábé teljes összege nettó árbevétel-csökkentő tétel azzal, hogy ezen összeggel az adóalap a VII. 2. sorban már nem csökkenthető - alapján kell meghatározni.</w:t>
      </w:r>
      <w:r w:rsidRPr="00AB058D">
        <w:rPr>
          <w:rFonts w:ascii="Times New Roman" w:eastAsia="Times New Roman" w:hAnsi="Times New Roman" w:cs="Times New Roman"/>
          <w:sz w:val="24"/>
        </w:rPr>
        <w:t xml:space="preserve"> </w:t>
      </w:r>
    </w:p>
    <w:p w:rsidR="00AB058D" w:rsidRPr="00AB058D" w:rsidRDefault="00AB058D" w:rsidP="00AB058D">
      <w:pPr>
        <w:spacing w:after="23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70" w:line="259" w:lineRule="auto"/>
        <w:ind w:left="144" w:right="146"/>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 „C"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224"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 </w:t>
      </w:r>
    </w:p>
    <w:p w:rsidR="00AB058D" w:rsidRPr="00AB058D" w:rsidRDefault="00AB058D" w:rsidP="00AB058D">
      <w:pPr>
        <w:spacing w:after="16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„C" jelű </w:t>
      </w:r>
      <w:r w:rsidRPr="00AB058D">
        <w:rPr>
          <w:rFonts w:ascii="Times New Roman" w:eastAsia="Times New Roman" w:hAnsi="Times New Roman" w:cs="Times New Roman"/>
          <w:color w:val="1A171C"/>
          <w:sz w:val="24"/>
        </w:rPr>
        <w:t xml:space="preserve">betétlapot azon adózóknak kell kitölteni, amelyek </w:t>
      </w:r>
      <w:r w:rsidRPr="00AB058D">
        <w:rPr>
          <w:rFonts w:ascii="Times New Roman" w:eastAsia="Times New Roman" w:hAnsi="Times New Roman" w:cs="Times New Roman"/>
          <w:b/>
          <w:color w:val="1A171C"/>
          <w:sz w:val="24"/>
        </w:rPr>
        <w:t xml:space="preserve">biztosítónak </w:t>
      </w:r>
      <w:r w:rsidRPr="00AB058D">
        <w:rPr>
          <w:rFonts w:ascii="Times New Roman" w:eastAsia="Times New Roman" w:hAnsi="Times New Roman" w:cs="Times New Roman"/>
          <w:color w:val="1A171C"/>
          <w:sz w:val="24"/>
        </w:rPr>
        <w:t>minősülnek.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 betétlapot együtt kell kezelni a bevallási főlappal,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AB058D">
        <w:rPr>
          <w:rFonts w:ascii="Times New Roman" w:eastAsia="Times New Roman" w:hAnsi="Times New Roman" w:cs="Times New Roman"/>
          <w:b/>
          <w:color w:val="1A171C"/>
          <w:sz w:val="24"/>
        </w:rPr>
        <w:t xml:space="preserve">Ez a sor megegyezik a bevallási főlap 1. sorában feltüntetendő összeggel! </w:t>
      </w:r>
      <w:r w:rsidRPr="00AB058D">
        <w:rPr>
          <w:rFonts w:ascii="Times New Roman" w:eastAsia="Times New Roman" w:hAnsi="Times New Roman" w:cs="Times New Roman"/>
          <w:sz w:val="24"/>
        </w:rPr>
        <w:t xml:space="preserve"> </w:t>
      </w:r>
    </w:p>
    <w:p w:rsidR="00AB058D" w:rsidRPr="00AB058D" w:rsidRDefault="00AB058D" w:rsidP="00AB058D">
      <w:pPr>
        <w:spacing w:after="18"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2-8. sorok: </w:t>
      </w:r>
      <w:r w:rsidRPr="00AB058D">
        <w:rPr>
          <w:rFonts w:ascii="Times New Roman" w:eastAsia="Times New Roman" w:hAnsi="Times New Roman" w:cs="Times New Roman"/>
          <w:color w:val="1A171C"/>
          <w:sz w:val="24"/>
        </w:rPr>
        <w:t xml:space="preserve">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w:t>
      </w:r>
    </w:p>
    <w:p w:rsidR="00AB058D" w:rsidRPr="00AB058D" w:rsidRDefault="00AB058D" w:rsidP="00AB058D">
      <w:pPr>
        <w:spacing w:after="165"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rendelet szabályai alapján kell meghatározni. </w:t>
      </w:r>
    </w:p>
    <w:p w:rsidR="00AB058D" w:rsidRPr="00AB058D" w:rsidRDefault="00AB058D" w:rsidP="005F289A">
      <w:pPr>
        <w:spacing w:after="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color w:val="1A171C"/>
          <w:sz w:val="24"/>
        </w:rPr>
        <w:tab/>
        <w:t xml:space="preserve"> </w:t>
      </w:r>
    </w:p>
    <w:p w:rsidR="00AB058D" w:rsidRPr="00AB058D" w:rsidRDefault="00AB058D" w:rsidP="00AB058D">
      <w:pPr>
        <w:keepNext/>
        <w:keepLines/>
        <w:spacing w:after="173" w:line="259" w:lineRule="auto"/>
        <w:ind w:left="144" w:right="144"/>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 „D"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222" w:line="259" w:lineRule="auto"/>
        <w:ind w:left="55" w:right="0" w:firstLine="0"/>
        <w:jc w:val="center"/>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p>
    <w:p w:rsidR="00AB058D" w:rsidRPr="00AB058D" w:rsidRDefault="00AB058D" w:rsidP="00AB058D">
      <w:pPr>
        <w:spacing w:after="16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„D" jelű </w:t>
      </w:r>
      <w:r w:rsidRPr="00AB058D">
        <w:rPr>
          <w:rFonts w:ascii="Times New Roman" w:eastAsia="Times New Roman" w:hAnsi="Times New Roman" w:cs="Times New Roman"/>
          <w:color w:val="1A171C"/>
          <w:sz w:val="24"/>
        </w:rPr>
        <w:t xml:space="preserve">betétlapot azon adózóknak kell kitölteni, amelyek </w:t>
      </w:r>
      <w:r w:rsidRPr="00AB058D">
        <w:rPr>
          <w:rFonts w:ascii="Times New Roman" w:eastAsia="Times New Roman" w:hAnsi="Times New Roman" w:cs="Times New Roman"/>
          <w:b/>
          <w:color w:val="1A171C"/>
          <w:sz w:val="24"/>
        </w:rPr>
        <w:t xml:space="preserve">befektetési vállalkozásnak </w:t>
      </w:r>
      <w:r w:rsidRPr="00AB058D">
        <w:rPr>
          <w:rFonts w:ascii="Times New Roman" w:eastAsia="Times New Roman" w:hAnsi="Times New Roman" w:cs="Times New Roman"/>
          <w:color w:val="1A171C"/>
          <w:sz w:val="24"/>
        </w:rPr>
        <w:t>minősülnek.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lastRenderedPageBreak/>
        <w:t>A betétlapot együtt kell kezelni a bevallási főlappal,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összesíteni a 2-6. sorokban szereplő egyes - vállalkozási szintű - nettó árbevételelemek összegét. </w:t>
      </w:r>
      <w:r w:rsidRPr="00AB058D">
        <w:rPr>
          <w:rFonts w:ascii="Times New Roman" w:eastAsia="Times New Roman" w:hAnsi="Times New Roman" w:cs="Times New Roman"/>
          <w:b/>
          <w:color w:val="1A171C"/>
          <w:sz w:val="24"/>
        </w:rPr>
        <w:t xml:space="preserve">Ez a sor megegyezik a bevallási főlap 1. sorában feltüntetendő összeggel! </w:t>
      </w:r>
      <w:r w:rsidRPr="00AB058D">
        <w:rPr>
          <w:rFonts w:ascii="Times New Roman" w:eastAsia="Times New Roman" w:hAnsi="Times New Roman" w:cs="Times New Roman"/>
          <w:sz w:val="24"/>
        </w:rPr>
        <w:t xml:space="preserve"> </w:t>
      </w:r>
    </w:p>
    <w:p w:rsidR="003A030F" w:rsidRDefault="00AB058D" w:rsidP="003A030F">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2- 6. sorok: </w:t>
      </w:r>
      <w:r w:rsidRPr="00AB058D">
        <w:rPr>
          <w:rFonts w:ascii="Times New Roman" w:eastAsia="Times New Roman" w:hAnsi="Times New Roman" w:cs="Times New Roman"/>
          <w:color w:val="1A171C"/>
          <w:sz w:val="24"/>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sajátosságairól szóló 251/2000. (XII. 24.) Korm. rendelet szabályai alapján kell meghatározni.</w:t>
      </w:r>
      <w:r w:rsidRPr="00AB058D">
        <w:rPr>
          <w:rFonts w:ascii="Times New Roman" w:eastAsia="Times New Roman" w:hAnsi="Times New Roman" w:cs="Times New Roman"/>
          <w:sz w:val="24"/>
        </w:rPr>
        <w:t xml:space="preserve"> </w:t>
      </w:r>
    </w:p>
    <w:p w:rsidR="00AB058D" w:rsidRPr="003A030F" w:rsidRDefault="00AB058D" w:rsidP="005F289A">
      <w:pPr>
        <w:spacing w:after="207" w:line="269" w:lineRule="auto"/>
        <w:ind w:left="-5" w:right="0"/>
        <w:jc w:val="center"/>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KITÖLTÉSI ÚTMUTATÓ AZ „E" JELŰ BETÉTLAPHOZ</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„E" jelű betétlapot minden olyan vállalkozásnak ki kell töltenie, </w:t>
      </w:r>
      <w:r w:rsidRPr="00AB058D">
        <w:rPr>
          <w:rFonts w:ascii="Times New Roman" w:eastAsia="Times New Roman" w:hAnsi="Times New Roman" w:cs="Times New Roman"/>
          <w:b/>
          <w:color w:val="1A171C"/>
          <w:sz w:val="24"/>
        </w:rPr>
        <w:t xml:space="preserve">amelynél van eladott áruk beszerzési értéke (elábé) és/vagy közvetített szolgáltatások értéke. Nem kell kitöltenie </w:t>
      </w:r>
      <w:r w:rsidRPr="00AB058D">
        <w:rPr>
          <w:rFonts w:ascii="Times New Roman" w:eastAsia="Times New Roman" w:hAnsi="Times New Roman" w:cs="Times New Roman"/>
          <w:color w:val="1A171C"/>
          <w:sz w:val="24"/>
        </w:rPr>
        <w:t xml:space="preserve">ezt a betétlapot annak a vállalkozónak, aki az iparűzési adóban az adóalap </w:t>
      </w:r>
      <w:r w:rsidRPr="00AB058D">
        <w:rPr>
          <w:rFonts w:ascii="Times New Roman" w:eastAsia="Times New Roman" w:hAnsi="Times New Roman" w:cs="Times New Roman"/>
          <w:b/>
          <w:color w:val="1A171C"/>
          <w:sz w:val="24"/>
        </w:rPr>
        <w:t xml:space="preserve">egyszerűsített adóalap-megállapítási módját választotta. </w:t>
      </w:r>
      <w:r w:rsidRPr="00AB058D">
        <w:rPr>
          <w:rFonts w:ascii="Times New Roman" w:eastAsia="Times New Roman" w:hAnsi="Times New Roman" w:cs="Times New Roman"/>
          <w:color w:val="1A171C"/>
          <w:sz w:val="24"/>
        </w:rPr>
        <w:t xml:space="preserve">E két ráfordítás-elemmel csökkenthető a nettó árbevétel a helyi iparűzési adó alapjának kiszámítása során, azonban </w:t>
      </w:r>
      <w:r w:rsidRPr="00AB058D">
        <w:rPr>
          <w:rFonts w:ascii="Times New Roman" w:eastAsia="Times New Roman" w:hAnsi="Times New Roman" w:cs="Times New Roman"/>
          <w:b/>
          <w:color w:val="1A171C"/>
          <w:sz w:val="24"/>
        </w:rPr>
        <w:t xml:space="preserve">együttes összegük csak korlátokkal vonható le a nettó árbevételből. </w:t>
      </w:r>
      <w:r w:rsidRPr="00AB058D">
        <w:rPr>
          <w:rFonts w:ascii="Times New Roman" w:eastAsia="Times New Roman" w:hAnsi="Times New Roman" w:cs="Times New Roman"/>
          <w:color w:val="1A171C"/>
          <w:sz w:val="24"/>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AB058D">
        <w:rPr>
          <w:rFonts w:ascii="Times New Roman" w:eastAsia="Times New Roman" w:hAnsi="Times New Roman" w:cs="Times New Roman"/>
          <w:b/>
          <w:color w:val="1A171C"/>
          <w:sz w:val="24"/>
        </w:rPr>
        <w:t>Nem vonatkozik a korlátozás arra a vállalkozásra, amelynek nettó árbevétele az 500 millió forintot nem haladja meg és nem minősül az I. pont szerinti értelemben vett kapcsolt vállalkozásnak.</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500 millió forintot meg nem haladó összegéből az e sávba jutó nettó árbevételcsökkentő összeg egésze,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500 millió forintot meghaladó, de 20 milliárd forintot meg nem haladó összegéből az e sávba jutó nettó árbevétel csökkentő összeg, de legfeljebb az e sávba jutó nettó árbevétel 85%-a,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20 milliárd forintot meghaladó, de 80 milliárd forintot meg nem haladó összegéből az e sávba jutó nettó árbevétel csökkentő összeg, de legfeljebb az e sávba jutó nettó árbevétel 75%-a,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80 milliárd forintot meghaladó összegéből az e sávba jutó nettó árbevétel csökkentő összeg, de legfeljebb az e sávba jutó nettó árbevétel 70%-a</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vonható le.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csökkenti a nettó árbevétel összegét, amely áruk, anyagok, szolgáltatások értékesítése után az adóalany a számvitelről szóló törvény szerinti </w:t>
      </w:r>
      <w:r w:rsidRPr="00AB058D">
        <w:rPr>
          <w:rFonts w:ascii="Times New Roman" w:eastAsia="Times New Roman" w:hAnsi="Times New Roman" w:cs="Times New Roman"/>
          <w:b/>
          <w:color w:val="1A171C"/>
          <w:sz w:val="24"/>
        </w:rPr>
        <w:t xml:space="preserve">exportértékesítés nettó árbevételét </w:t>
      </w:r>
      <w:r w:rsidRPr="00AB058D">
        <w:rPr>
          <w:rFonts w:ascii="Times New Roman" w:eastAsia="Times New Roman" w:hAnsi="Times New Roman" w:cs="Times New Roman"/>
          <w:color w:val="1A171C"/>
          <w:sz w:val="24"/>
        </w:rPr>
        <w:t xml:space="preserve">vagy a </w:t>
      </w:r>
      <w:r w:rsidRPr="00AB058D">
        <w:rPr>
          <w:rFonts w:ascii="Times New Roman" w:eastAsia="Times New Roman" w:hAnsi="Times New Roman" w:cs="Times New Roman"/>
          <w:b/>
          <w:color w:val="1A171C"/>
          <w:sz w:val="24"/>
        </w:rPr>
        <w:t xml:space="preserve">közfinanszírozásban részesülő gyógyszerek, mint áruk </w:t>
      </w:r>
      <w:r w:rsidRPr="00AB058D">
        <w:rPr>
          <w:rFonts w:ascii="Times New Roman" w:eastAsia="Times New Roman" w:hAnsi="Times New Roman" w:cs="Times New Roman"/>
          <w:color w:val="1A171C"/>
          <w:sz w:val="24"/>
        </w:rPr>
        <w:t xml:space="preserve">értékesítése után belföldi értékesítés nettó árbevételét számol el. Az </w:t>
      </w:r>
      <w:r w:rsidRPr="00AB058D">
        <w:rPr>
          <w:rFonts w:ascii="Times New Roman" w:eastAsia="Times New Roman" w:hAnsi="Times New Roman" w:cs="Times New Roman"/>
          <w:b/>
          <w:color w:val="1A171C"/>
          <w:sz w:val="24"/>
        </w:rPr>
        <w:t xml:space="preserve">elszámolóházi tevékenységet </w:t>
      </w:r>
      <w:r w:rsidRPr="00AB058D">
        <w:rPr>
          <w:rFonts w:ascii="Times New Roman" w:eastAsia="Times New Roman" w:hAnsi="Times New Roman" w:cs="Times New Roman"/>
          <w:color w:val="1A171C"/>
          <w:sz w:val="24"/>
        </w:rPr>
        <w:t>végző szervezetnél, az általa - a földgázpiaci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értékeként elszámolt dohánytermékek beszerzési értéke csökkenti a nettó árbevétel összegét.</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lastRenderedPageBreak/>
        <w:t>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Adóalany adatai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I. sorban </w:t>
      </w:r>
      <w:r w:rsidRPr="00AB058D">
        <w:rPr>
          <w:rFonts w:ascii="Times New Roman" w:eastAsia="Times New Roman" w:hAnsi="Times New Roman" w:cs="Times New Roman"/>
          <w:color w:val="1A171C"/>
          <w:sz w:val="24"/>
        </w:rPr>
        <w:t xml:space="preserve">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adóalany nettó árbevételének a kapcsolt vállalkozások összes nettó árbevételében képviselt arányának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 Nem kell ezt a pontot kitölteni, ha a kapcsolt vállalkozási viszony nem 2016. október 1-jét követő szétválással jött létre [Htv. 39. § (10)]. </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Tehát e négyzetbe azon vállalkozásnak kell X-et tennie, amely megfelel valamennyi, következő feltételnek:</w:t>
      </w:r>
      <w:r w:rsidRPr="00AB058D">
        <w:rPr>
          <w:rFonts w:ascii="Times New Roman" w:eastAsia="Times New Roman" w:hAnsi="Times New Roman" w:cs="Times New Roman"/>
          <w:sz w:val="24"/>
        </w:rPr>
        <w:t xml:space="preserve"> </w:t>
      </w:r>
    </w:p>
    <w:p w:rsidR="00AB058D" w:rsidRPr="00AB058D" w:rsidRDefault="00AB058D" w:rsidP="00AB058D">
      <w:pPr>
        <w:tabs>
          <w:tab w:val="center" w:pos="763"/>
          <w:tab w:val="right" w:pos="10466"/>
        </w:tabs>
        <w:spacing w:after="207" w:line="269" w:lineRule="auto"/>
        <w:ind w:left="0" w:right="0" w:firstLine="0"/>
        <w:jc w:val="left"/>
        <w:rPr>
          <w:rFonts w:ascii="Times New Roman" w:eastAsia="Times New Roman" w:hAnsi="Times New Roman" w:cs="Times New Roman"/>
          <w:color w:val="1A171C"/>
          <w:sz w:val="24"/>
        </w:rPr>
      </w:pPr>
      <w:r w:rsidRPr="00AB058D">
        <w:rPr>
          <w:rFonts w:ascii="Calibri" w:eastAsia="Calibri" w:hAnsi="Calibri" w:cs="Calibri"/>
        </w:rPr>
        <w:tab/>
      </w:r>
      <w:r w:rsidRPr="00AB058D">
        <w:rPr>
          <w:rFonts w:ascii="Wingdings" w:eastAsia="Wingdings" w:hAnsi="Wingdings" w:cs="Wingdings"/>
          <w:color w:val="1A171C"/>
          <w:sz w:val="24"/>
        </w:rPr>
        <w:t></w:t>
      </w:r>
      <w:r w:rsidRPr="00AB058D">
        <w:rPr>
          <w:rFonts w:ascii="Arial" w:eastAsia="Arial" w:hAnsi="Arial" w:cs="Arial"/>
          <w:color w:val="1A171C"/>
          <w:sz w:val="24"/>
        </w:rPr>
        <w:t xml:space="preserve"> </w:t>
      </w:r>
      <w:r w:rsidRPr="00AB058D">
        <w:rPr>
          <w:rFonts w:ascii="Arial" w:eastAsia="Arial" w:hAnsi="Arial" w:cs="Arial"/>
          <w:color w:val="1A171C"/>
          <w:sz w:val="24"/>
        </w:rPr>
        <w:tab/>
      </w:r>
      <w:r w:rsidRPr="00AB058D">
        <w:rPr>
          <w:rFonts w:ascii="Times New Roman" w:eastAsia="Times New Roman" w:hAnsi="Times New Roman" w:cs="Times New Roman"/>
          <w:color w:val="1A171C"/>
          <w:sz w:val="24"/>
        </w:rPr>
        <w:t>a társasági adóról és osztalékadóról szóló törvény szerinti kapcsolt vállalkozásnak minősül és</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763"/>
          <w:tab w:val="center" w:pos="5525"/>
        </w:tabs>
        <w:spacing w:after="203" w:line="270" w:lineRule="auto"/>
        <w:ind w:left="0" w:right="0" w:firstLine="0"/>
        <w:jc w:val="left"/>
        <w:outlineLvl w:val="0"/>
        <w:rPr>
          <w:rFonts w:ascii="Times New Roman" w:eastAsia="Times New Roman" w:hAnsi="Times New Roman" w:cs="Times New Roman"/>
          <w:b/>
          <w:color w:val="1A171C"/>
          <w:sz w:val="24"/>
        </w:rPr>
      </w:pPr>
      <w:r w:rsidRPr="00AB058D">
        <w:rPr>
          <w:rFonts w:ascii="Calibri" w:eastAsia="Calibri" w:hAnsi="Calibri" w:cs="Calibri"/>
        </w:rPr>
        <w:tab/>
      </w:r>
      <w:r w:rsidRPr="00AB058D">
        <w:rPr>
          <w:rFonts w:ascii="Wingdings" w:eastAsia="Wingdings" w:hAnsi="Wingdings" w:cs="Wingdings"/>
          <w:color w:val="1A171C"/>
          <w:sz w:val="24"/>
        </w:rPr>
        <w:t></w:t>
      </w:r>
      <w:r w:rsidRPr="00AB058D">
        <w:rPr>
          <w:rFonts w:ascii="Arial" w:eastAsia="Arial" w:hAnsi="Arial" w:cs="Arial"/>
          <w:color w:val="1A171C"/>
          <w:sz w:val="24"/>
        </w:rPr>
        <w:t xml:space="preserve"> </w:t>
      </w:r>
      <w:r w:rsidRPr="00AB058D">
        <w:rPr>
          <w:rFonts w:ascii="Arial" w:eastAsia="Arial" w:hAnsi="Arial" w:cs="Arial"/>
          <w:color w:val="1A171C"/>
          <w:sz w:val="24"/>
        </w:rPr>
        <w:tab/>
      </w:r>
      <w:r w:rsidRPr="00AB058D">
        <w:rPr>
          <w:rFonts w:ascii="Times New Roman" w:eastAsia="Times New Roman" w:hAnsi="Times New Roman" w:cs="Times New Roman"/>
          <w:color w:val="1A171C"/>
          <w:sz w:val="24"/>
        </w:rPr>
        <w:t xml:space="preserve"> a kapcsolt vállalkozási viszony </w:t>
      </w:r>
      <w:r w:rsidRPr="00AB058D">
        <w:rPr>
          <w:rFonts w:ascii="Times New Roman" w:eastAsia="Times New Roman" w:hAnsi="Times New Roman" w:cs="Times New Roman"/>
          <w:b/>
          <w:color w:val="1A171C"/>
          <w:sz w:val="24"/>
        </w:rPr>
        <w:t>2016. október 1-jét követő szétválással jött létre</w:t>
      </w:r>
      <w:r w:rsidRPr="00AB058D">
        <w:rPr>
          <w:rFonts w:ascii="Times New Roman" w:eastAsia="Times New Roman" w:hAnsi="Times New Roman" w:cs="Times New Roman"/>
          <w:color w:val="1A171C"/>
          <w:sz w:val="24"/>
        </w:rPr>
        <w:t xml:space="preserve"> és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helyi iparűzési adó alanya és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1"/>
        </w:numPr>
        <w:spacing w:after="0"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elábé és a közvetített szolgáltatás értékének együttes összege meghaladja a nettó árbevétel </w:t>
      </w:r>
    </w:p>
    <w:p w:rsidR="00AB058D" w:rsidRPr="00AB058D" w:rsidRDefault="00AB058D" w:rsidP="00AB058D">
      <w:pPr>
        <w:spacing w:after="207" w:line="269" w:lineRule="auto"/>
        <w:ind w:left="718"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50%-át és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1"/>
        </w:numPr>
        <w:spacing w:after="173"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adóalany rendelkezik az előző feltételnek megfelelő kapcsolt vállalkozással. </w:t>
      </w:r>
      <w:r w:rsidRPr="00AB058D">
        <w:rPr>
          <w:rFonts w:ascii="Times New Roman" w:eastAsia="Times New Roman" w:hAnsi="Times New Roman" w:cs="Times New Roman"/>
          <w:b/>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Amennyiben e feltételek mindegyike teljesül, akkor a továbbiakban csak a III. pont alatti sorokat kell kitölteni, ha egy vagy több feltétel nem teljesül, akkor pedig csak a II. pont alatti sorokat kell kitölteni.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1. és a 2. sorban </w:t>
      </w:r>
      <w:r w:rsidRPr="00AB058D">
        <w:rPr>
          <w:rFonts w:ascii="Times New Roman" w:eastAsia="Times New Roman" w:hAnsi="Times New Roman" w:cs="Times New Roman"/>
          <w:color w:val="1A171C"/>
          <w:sz w:val="24"/>
        </w:rPr>
        <w:t>az adózó azonosításához szükséges adatokat kell feltüntetni.</w:t>
      </w:r>
      <w:r w:rsidRPr="00AB058D">
        <w:rPr>
          <w:rFonts w:ascii="Times New Roman" w:eastAsia="Times New Roman" w:hAnsi="Times New Roman" w:cs="Times New Roman"/>
          <w:sz w:val="24"/>
        </w:rPr>
        <w:t xml:space="preserve"> </w:t>
      </w:r>
    </w:p>
    <w:p w:rsidR="00AB058D" w:rsidRPr="00AB058D" w:rsidRDefault="00AB058D" w:rsidP="00AB058D">
      <w:pPr>
        <w:spacing w:after="11" w:line="43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 Htv. 39. § (6) bekezdésének hatálya alá nem tartozó vállalkozás esetén kitöltendő bevallási sorok</w:t>
      </w:r>
      <w:r w:rsidRPr="00AB058D">
        <w:rPr>
          <w:rFonts w:ascii="Times New Roman" w:eastAsia="Times New Roman" w:hAnsi="Times New Roman" w:cs="Times New Roman"/>
          <w:b/>
          <w:sz w:val="24"/>
        </w:rPr>
        <w:t xml:space="preserve">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1. sorban </w:t>
      </w:r>
      <w:r w:rsidRPr="00AB058D">
        <w:rPr>
          <w:rFonts w:ascii="Times New Roman" w:eastAsia="Times New Roman" w:hAnsi="Times New Roman" w:cs="Times New Roman"/>
          <w:color w:val="1A171C"/>
          <w:sz w:val="24"/>
        </w:rPr>
        <w:t>kell feltüntetni az eladott áruk beszerzési értéke összegét.</w:t>
      </w:r>
      <w:r w:rsidRPr="00AB058D">
        <w:rPr>
          <w:rFonts w:ascii="Times New Roman" w:eastAsia="Times New Roman" w:hAnsi="Times New Roman" w:cs="Times New Roman"/>
          <w:sz w:val="24"/>
        </w:rPr>
        <w:t xml:space="preserve"> </w:t>
      </w:r>
    </w:p>
    <w:p w:rsidR="00AB058D" w:rsidRPr="00AB058D" w:rsidRDefault="00AB058D" w:rsidP="00AB058D">
      <w:pPr>
        <w:spacing w:after="16"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értékeként elszámolt - bekerülési (beszerzési) értéke. Az egyszeres könyvvitelt, valamint - a személyi jövedelemadóról szóló törvény hatálya alá tartozó - pénzforgalmi nyilvántartást vezető vállalkozók esetében a tárgyévi árubeszerzésre fordított kiadás, csökkentve a kifizetett árukészlet leltár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52. § 40. pont szerint közvetített szolgáltatások értékeként nettó árbevételét csökkentette.</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2. sorban </w:t>
      </w:r>
      <w:r w:rsidRPr="00AB058D">
        <w:rPr>
          <w:rFonts w:ascii="Times New Roman" w:eastAsia="Times New Roman" w:hAnsi="Times New Roman" w:cs="Times New Roman"/>
          <w:color w:val="1A171C"/>
          <w:sz w:val="24"/>
        </w:rPr>
        <w:t>kell feltüntetni a közvetített szolgáltatások értékét.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 változatlan formában ad tovább, azaz nem a saját teljesítményéhez </w:t>
      </w:r>
      <w:r w:rsidRPr="00AB058D">
        <w:rPr>
          <w:rFonts w:ascii="Times New Roman" w:eastAsia="Times New Roman" w:hAnsi="Times New Roman" w:cs="Times New Roman"/>
          <w:color w:val="1A171C"/>
          <w:sz w:val="24"/>
        </w:rPr>
        <w:lastRenderedPageBreak/>
        <w:t xml:space="preserve">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AB058D">
        <w:rPr>
          <w:rFonts w:ascii="Times New Roman" w:eastAsia="Times New Roman" w:hAnsi="Times New Roman" w:cs="Times New Roman"/>
          <w:i/>
          <w:color w:val="1A171C"/>
          <w:sz w:val="24"/>
        </w:rPr>
        <w:t>a)</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alpontja szerint jogdíjként, a 36. pont szerint eladott áruk beszerzési értékeként, a 37. pont szerint anyagköltségként vagy a 32. pont szerint alvállalkozói teljesítések értékeként nettó árbevételét nem csökkentette.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3. sorban </w:t>
      </w:r>
      <w:r w:rsidRPr="00AB058D">
        <w:rPr>
          <w:rFonts w:ascii="Times New Roman" w:eastAsia="Times New Roman" w:hAnsi="Times New Roman" w:cs="Times New Roman"/>
          <w:color w:val="1A171C"/>
          <w:sz w:val="24"/>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AB058D">
        <w:rPr>
          <w:rFonts w:ascii="Times New Roman" w:eastAsia="Times New Roman" w:hAnsi="Times New Roman" w:cs="Times New Roman"/>
          <w:b/>
          <w:color w:val="1A171C"/>
          <w:sz w:val="24"/>
        </w:rPr>
        <w:t>Ezt a sort nem kell kitölteni annak a vállalkozásnak, amelynek nettó árbevétele az 500 millió forintot nem haladja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4. sorban </w:t>
      </w:r>
      <w:r w:rsidRPr="00AB058D">
        <w:rPr>
          <w:rFonts w:ascii="Times New Roman" w:eastAsia="Times New Roman" w:hAnsi="Times New Roman" w:cs="Times New Roman"/>
          <w:color w:val="1A171C"/>
          <w:sz w:val="24"/>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AB058D">
        <w:rPr>
          <w:rFonts w:ascii="Times New Roman" w:eastAsia="Times New Roman" w:hAnsi="Times New Roman" w:cs="Times New Roman"/>
          <w:b/>
          <w:color w:val="1A171C"/>
          <w:sz w:val="24"/>
        </w:rPr>
        <w:t>Ezt a sort nem kell kitölteni annak a vállalkozásnak, amelynek nettó árbevétele az 500 millió forintot nem haladja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5. sorban </w:t>
      </w:r>
      <w:r w:rsidRPr="00AB058D">
        <w:rPr>
          <w:rFonts w:ascii="Times New Roman" w:eastAsia="Times New Roman" w:hAnsi="Times New Roman" w:cs="Times New Roman"/>
          <w:color w:val="1A171C"/>
          <w:sz w:val="24"/>
        </w:rPr>
        <w:t>kell feltüntetni az 1.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6. sorban </w:t>
      </w:r>
      <w:r w:rsidRPr="00AB058D">
        <w:rPr>
          <w:rFonts w:ascii="Times New Roman" w:eastAsia="Times New Roman" w:hAnsi="Times New Roman" w:cs="Times New Roman"/>
          <w:color w:val="1A171C"/>
          <w:sz w:val="24"/>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AB058D">
        <w:rPr>
          <w:rFonts w:ascii="Times New Roman" w:eastAsia="Times New Roman" w:hAnsi="Times New Roman" w:cs="Times New Roman"/>
          <w:b/>
          <w:color w:val="1A171C"/>
          <w:sz w:val="24"/>
        </w:rPr>
        <w:t>Ezt a sort nem kell kitölteni annak a vállalkozásnak, amelynek nettó árbevétele az 500 millió forintot nem haladja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7. sor </w:t>
      </w:r>
      <w:r w:rsidRPr="00AB058D">
        <w:rPr>
          <w:rFonts w:ascii="Times New Roman" w:eastAsia="Times New Roman" w:hAnsi="Times New Roman" w:cs="Times New Roman"/>
          <w:color w:val="1A171C"/>
          <w:sz w:val="24"/>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árbevétele az 500 millió forintot meghaladja, akkor a 3. sorban, a 4. sorban, az 5. sorban és a 6. sorban feltüntetett számadatokat kell összeadni és itt beírni.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III.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 Htv. 39. § (6) bekezdésének hatálya alá tartozó kapcsolt vállalkozás esetén kitöltendő bevallási sorok</w:t>
      </w:r>
      <w:r w:rsidRPr="00AB058D">
        <w:rPr>
          <w:rFonts w:ascii="Times New Roman" w:eastAsia="Times New Roman" w:hAnsi="Times New Roman" w:cs="Times New Roman"/>
          <w:b/>
          <w:sz w:val="24"/>
        </w:rPr>
        <w:t xml:space="preserve"> </w:t>
      </w:r>
      <w:r w:rsidRPr="00AB058D">
        <w:rPr>
          <w:rFonts w:ascii="Times New Roman" w:eastAsia="Times New Roman" w:hAnsi="Times New Roman" w:cs="Times New Roman"/>
          <w:color w:val="1A171C"/>
          <w:sz w:val="24"/>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1. sorban </w:t>
      </w:r>
      <w:r w:rsidRPr="00AB058D">
        <w:rPr>
          <w:rFonts w:ascii="Times New Roman" w:eastAsia="Times New Roman" w:hAnsi="Times New Roman" w:cs="Times New Roman"/>
          <w:color w:val="1A171C"/>
          <w:sz w:val="24"/>
        </w:rPr>
        <w:t>kell feltüntetni azt a nettó árbevétel-összeget, amely az összevont adóalap-számításra kötelezett kapcsolt vállalkozások Htv. szerinti nettó árbevétel-adatainak összegzéseként áll elő.</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2. sorban </w:t>
      </w:r>
      <w:r w:rsidRPr="00AB058D">
        <w:rPr>
          <w:rFonts w:ascii="Times New Roman" w:eastAsia="Times New Roman" w:hAnsi="Times New Roman" w:cs="Times New Roman"/>
          <w:color w:val="1A171C"/>
          <w:sz w:val="24"/>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árbevétel a helyi iparűzési adóalap számítása során.</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3. sor </w:t>
      </w:r>
      <w:r w:rsidRPr="00AB058D">
        <w:rPr>
          <w:rFonts w:ascii="Times New Roman" w:eastAsia="Times New Roman" w:hAnsi="Times New Roman" w:cs="Times New Roman"/>
          <w:color w:val="1A171C"/>
          <w:sz w:val="24"/>
        </w:rPr>
        <w:t>szolgál az összevont adóalap-számításra kötelezett kapcsolt vállalkozások összesített elábé összegének kimutatására.</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A </w:t>
      </w:r>
      <w:r w:rsidRPr="00AB058D">
        <w:rPr>
          <w:rFonts w:ascii="Times New Roman" w:eastAsia="Times New Roman" w:hAnsi="Times New Roman" w:cs="Times New Roman"/>
          <w:b/>
          <w:color w:val="1A171C"/>
          <w:sz w:val="24"/>
        </w:rPr>
        <w:t xml:space="preserve">4. sor </w:t>
      </w:r>
      <w:r w:rsidRPr="00AB058D">
        <w:rPr>
          <w:rFonts w:ascii="Times New Roman" w:eastAsia="Times New Roman" w:hAnsi="Times New Roman" w:cs="Times New Roman"/>
          <w:color w:val="1A171C"/>
          <w:sz w:val="24"/>
        </w:rPr>
        <w:t>szolgál az összevont adóalap-számításra kötelezett kapcsolt vállalkozások összesített közvetített szolgáltatások értéke összegének kimutatására.</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5. sorban </w:t>
      </w:r>
      <w:r w:rsidRPr="00AB058D">
        <w:rPr>
          <w:rFonts w:ascii="Times New Roman" w:eastAsia="Times New Roman" w:hAnsi="Times New Roman" w:cs="Times New Roman"/>
          <w:color w:val="1A171C"/>
          <w:sz w:val="24"/>
        </w:rPr>
        <w:t>kell feltüntetni a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6. sorban </w:t>
      </w:r>
      <w:r w:rsidRPr="00AB058D">
        <w:rPr>
          <w:rFonts w:ascii="Times New Roman" w:eastAsia="Times New Roman" w:hAnsi="Times New Roman" w:cs="Times New Roman"/>
          <w:color w:val="1A171C"/>
          <w:sz w:val="24"/>
        </w:rPr>
        <w:t>kell feltüntetni a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7. sorban </w:t>
      </w:r>
      <w:r w:rsidRPr="00AB058D">
        <w:rPr>
          <w:rFonts w:ascii="Times New Roman" w:eastAsia="Times New Roman" w:hAnsi="Times New Roman" w:cs="Times New Roman"/>
          <w:color w:val="1A171C"/>
          <w:sz w:val="24"/>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8. sorban </w:t>
      </w:r>
      <w:r w:rsidRPr="00AB058D">
        <w:rPr>
          <w:rFonts w:ascii="Times New Roman" w:eastAsia="Times New Roman" w:hAnsi="Times New Roman" w:cs="Times New Roman"/>
          <w:color w:val="1A171C"/>
          <w:sz w:val="24"/>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számadat nem haladhatja meg a 3. és a 4. sor szerinti adat együttes összegét).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9. sor </w:t>
      </w:r>
      <w:r w:rsidRPr="00AB058D">
        <w:rPr>
          <w:rFonts w:ascii="Times New Roman" w:eastAsia="Times New Roman" w:hAnsi="Times New Roman" w:cs="Times New Roman"/>
          <w:color w:val="1A171C"/>
          <w:sz w:val="24"/>
        </w:rPr>
        <w:t>szolgál annak kimutatására, hogy mekkora az az összeg, amellyel ténylegesen csökkenthető az összevont nettó árbevétel elábé és közvetített szolgáltatások együttes értéke jogcímen, az összevont, csoportszintű adóalap kiszámítása érdekében. Ez a számadat a korlátozás nélkül levonható csoportszintű tételek (5. sorban, 6. sorban és 7. sorban feltüntetett összegek) és a 8. sorban szereplő összeg együttes összegeként áll elő.</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10. sorban </w:t>
      </w:r>
      <w:r w:rsidRPr="00AB058D">
        <w:rPr>
          <w:rFonts w:ascii="Times New Roman" w:eastAsia="Times New Roman" w:hAnsi="Times New Roman" w:cs="Times New Roman"/>
          <w:color w:val="1A171C"/>
          <w:sz w:val="24"/>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r w:rsidRPr="00AB058D">
        <w:rPr>
          <w:rFonts w:ascii="Times New Roman" w:eastAsia="Times New Roman" w:hAnsi="Times New Roman" w:cs="Times New Roman"/>
          <w:sz w:val="24"/>
        </w:rPr>
        <w:t xml:space="preserve"> </w:t>
      </w:r>
    </w:p>
    <w:p w:rsidR="00AB058D" w:rsidRPr="00AB058D" w:rsidRDefault="00AB058D" w:rsidP="00AB058D">
      <w:pPr>
        <w:spacing w:after="164"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11. sorban </w:t>
      </w:r>
      <w:r w:rsidRPr="00AB058D">
        <w:rPr>
          <w:rFonts w:ascii="Times New Roman" w:eastAsia="Times New Roman" w:hAnsi="Times New Roman" w:cs="Times New Roman"/>
          <w:color w:val="1A171C"/>
          <w:sz w:val="24"/>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 sorában kiszámított nettó árbevétel összege) és az összes, csoportszintű nettó árbevétel összege (III. 1. sor) hányados értékével (a hányadost 6 tizedesjegyig kell számítani).</w:t>
      </w:r>
      <w:r w:rsidRPr="00AB058D">
        <w:rPr>
          <w:rFonts w:ascii="Times New Roman" w:eastAsia="Times New Roman" w:hAnsi="Times New Roman" w:cs="Times New Roman"/>
          <w:sz w:val="24"/>
        </w:rPr>
        <w:t xml:space="preserve"> </w:t>
      </w:r>
    </w:p>
    <w:p w:rsidR="00AB058D" w:rsidRPr="00AB058D" w:rsidRDefault="00AB058D" w:rsidP="00AB058D">
      <w:pPr>
        <w:spacing w:after="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color w:val="1A171C"/>
          <w:sz w:val="24"/>
        </w:rPr>
        <w:tab/>
        <w:t xml:space="preserve"> </w:t>
      </w:r>
      <w:r w:rsidRPr="00AB058D">
        <w:rPr>
          <w:rFonts w:ascii="Times New Roman" w:eastAsia="Times New Roman" w:hAnsi="Times New Roman" w:cs="Times New Roman"/>
          <w:color w:val="1A171C"/>
          <w:sz w:val="24"/>
        </w:rPr>
        <w:br w:type="page"/>
      </w:r>
    </w:p>
    <w:p w:rsidR="00AB058D" w:rsidRPr="00AB058D" w:rsidRDefault="00AB058D" w:rsidP="00AB058D">
      <w:pPr>
        <w:spacing w:after="229"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 </w:t>
      </w:r>
    </w:p>
    <w:p w:rsidR="00AB058D" w:rsidRPr="00AB058D" w:rsidRDefault="00AB058D" w:rsidP="00AB058D">
      <w:pPr>
        <w:keepNext/>
        <w:keepLines/>
        <w:spacing w:after="170" w:line="259" w:lineRule="auto"/>
        <w:ind w:left="144" w:right="139"/>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AZ „F"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16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AB058D">
        <w:rPr>
          <w:rFonts w:ascii="Times New Roman" w:eastAsia="Times New Roman" w:hAnsi="Times New Roman" w:cs="Times New Roman"/>
          <w:b/>
          <w:color w:val="1A171C"/>
          <w:sz w:val="24"/>
        </w:rPr>
        <w:t xml:space="preserve">„F" jelű </w:t>
      </w:r>
      <w:r w:rsidRPr="00AB058D">
        <w:rPr>
          <w:rFonts w:ascii="Times New Roman" w:eastAsia="Times New Roman" w:hAnsi="Times New Roman" w:cs="Times New Roman"/>
          <w:color w:val="1A171C"/>
          <w:sz w:val="24"/>
        </w:rPr>
        <w:t>betétlapot is ki kell tölteni.</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 betétlapot együtt kell kezelni a bevallási főlappal,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keepNext/>
        <w:keepLines/>
        <w:spacing w:after="159"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Adóalany</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Art. 37. § (11) bekezdése értelmében az adózónak az adóazonosító számát az adózással összefüggő minden iraton fel kell tüntetnie. Ez a mező tehát az adóalany azonosítására szolgáló mező, az adózó nevét és adóazonosító számát (magánszemély esetén adóazonosító jelét, szervezet esetén adószámát) kell feltüntetni.</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Alkalmazott adóalap-megosztás módszere</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AB058D">
        <w:rPr>
          <w:rFonts w:ascii="Times New Roman" w:eastAsia="Times New Roman" w:hAnsi="Times New Roman" w:cs="Times New Roman"/>
          <w:b/>
          <w:color w:val="1A171C"/>
          <w:sz w:val="24"/>
        </w:rPr>
        <w:t xml:space="preserve">Az adóalap-megosztás módszere tehát nem a vállalkozás választásának függvénye! </w:t>
      </w:r>
      <w:r w:rsidRPr="00AB058D">
        <w:rPr>
          <w:rFonts w:ascii="Times New Roman" w:eastAsia="Times New Roman" w:hAnsi="Times New Roman" w:cs="Times New Roman"/>
          <w:color w:val="1A171C"/>
          <w:sz w:val="24"/>
        </w:rPr>
        <w:t xml:space="preserve">Az 1. pont vagy a 3. pont melletti négyzetbe lehet X-et tenni, feltéve, hogy az adóalap-megosztásra az a leginkább jellemző, </w:t>
      </w:r>
      <w:r w:rsidRPr="00AB058D">
        <w:rPr>
          <w:rFonts w:ascii="Times New Roman" w:eastAsia="Times New Roman" w:hAnsi="Times New Roman" w:cs="Times New Roman"/>
          <w:b/>
          <w:color w:val="1A171C"/>
          <w:sz w:val="24"/>
        </w:rPr>
        <w:t>az alábbi korlátok figyelembevételével</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tehet X-et, figyelembe véve a következő pontokban foglaltakat is.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alkalmazható. Ekkor az egyetemes szolgáltatónak és az energiakereskedőnek az „F" jelű betétlap III. pont 5. és 6. sorait, elosztói hálózati engedélyesnek pedig az „F" jelű betétlap III. pont 7. és 8. sorait kell még kitölteni!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E megosztási mód esetén a székhely szerinti, valamint a Htv. 52. § 31. pont a) alpontja szerinti telephelyek szerinti településekre az adóalap 50%-át a hagyományos módokon kell megosztani,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szerinti települések esetén – az „F" jelű betétlap III. pont 1. és 2. vagy 3. és 4. vagy 1., 2., 3., 4., sorait kell kitölteni, az építőipari tevékenység időtartama miatt telephellyé váló települések esetén pedig az „F" jelű betétlap III. pont a 9. és 10. sorait kell még kitölteni!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0"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A vezeték nélküli távközlési tevékenységet végző vállalkozónak a Htv. melléklete 2.4.1. pontja alapján 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alkalmazásával. Míg az adóalap (fennmaradó) 80%-át az összes előfizetője és településen lévő előfizetők arányában kell megosztania. Ezen vállalkozó az „F" jelű betétlap II. pont 1., 2. vagy 2. sornál és 6. sornál tesz X-et. Ekkor az „F" jelű betétlap III. pont 1., 2., 3. és 4. sorait, valamint II. és 12. sorait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6"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vezetékes távközlési szolgáltatást nyújtó vállalkozó esetén csak a Htv. melléklete 2.4.2. pontja szerinti megosztási mód alkalmazható. Ezért ezen adózó csak e helyre tehet X-et. Ekkor az „F" jelű betétlap III. pont 13. és 14. sorait kell kitölteni! Ha viszont a vezetékes távközlési szolgáltatást nyújtó vezeték nélküli távközlési szolgáltatást is nyújt, akkor az „F" jelű betétlap III. sor 15. és 16. sorait is ki kell tölteni.</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1240"/>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Megosztás</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Ha az adózó a személyi jellegű ráfordítás szerinti adóalap-megosztást alkalmazza, akkor az 1. és 2. sorokat kell kitölteni. Amennyiben az eszközérték-arányos megosztási módszert alkalmazza úgy 3. és a 4. sorokat kell kitölteni. Ha a vállalkozás a komplex megoldási módszert alkalmazza, abban az esetben az 1-4. sorok mindegyikét ki kell 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 Htv. mellékletének 1.1. pontja alapján számított (vállalkozás szintű) személyi jellegű ráfordítás összegét, azaz a személyi jellegű ráfordítás arányában történő adóalap-megosztás vetítési alapját.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szerepeltetni a személyi jellegű ráfordítással arányos megosztási módszer alkalmazása során az adott (székhely, telephely szerinti) településen felmerült (oda jutó) személyi jellegű ráfordítás összegét.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3"/>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 Htv. mellékletének 1.2. pontja alapján számított a székhely, telephely szerinti településre jutó összes eszközérték összegét, azaz az eszközarányos adóalap-megosztás vetítési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3"/>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szerepeltetni az adott (székhely, telephely szerinti) településen felmerült (oda jutó) eszközérték összegét.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5.</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 sorba kell írni az egyetemes szolgáltató, villamosenergia- vagy földgázkereskedő esetén a villamos energia vagy földgáz végső fogyasztók részére történő értékesítéséből származó összes számviteli törvény szerinti nettó árbevételét, azaz ezen adózói körben a megosztás vetítési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feltüntetni az egyetemes szolgáltató, villamosenergia- vagy földgázkereskedő esetén a villamos energia vagy földgáz végső fogyasztók részére történő értékesítéséből származó, az önkormányzat illetékességi területére jutó, azaz a településen lévő végső fogyasztóktól származó, számviteli törvény szerinti nettó árbevételt.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rögzíteni a villamos energia elosztó hálózati engedélyes és földgázelosztói engedélyes esetén az összes végső fogyasztónak továbbított villamos energia vagy földgáz mennyiségét, vagyis ebben az adózói körben a megosztás vetítési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9.</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Építőipari tevékenységet végző esetén - ha a rá vonatkozó specifikus megosztási módot választja - ebben a sorban a vállalkozás egészének szintjén képződő építőipari </w:t>
      </w:r>
      <w:r w:rsidRPr="00AB058D">
        <w:rPr>
          <w:rFonts w:ascii="Times New Roman" w:eastAsia="Times New Roman" w:hAnsi="Times New Roman" w:cs="Times New Roman"/>
          <w:color w:val="1A171C"/>
          <w:sz w:val="24"/>
        </w:rPr>
        <w:lastRenderedPageBreak/>
        <w:t>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 a sorba az építőipari tevékenységet végzőnek a 9. sorban jelölt összegből azt a részt kell beírni, amelyik az adott településre jut.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 vezeték nélküli távközlési tevékenységet végző vállalkozó esetén az utólag fizetett díjú szolgáltatást igénybe vevő előfizetők - adóév első napján érvényes - számát kell ebbe a sorba (főben kifejezett adatként) beírni.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12. sor: </w:t>
      </w:r>
      <w:r w:rsidRPr="00AB058D">
        <w:rPr>
          <w:rFonts w:ascii="Times New Roman" w:eastAsia="Times New Roman" w:hAnsi="Times New Roman" w:cs="Times New Roman"/>
          <w:color w:val="1A171C"/>
          <w:sz w:val="24"/>
        </w:rPr>
        <w:t>A 11. sorban feltüntetett előfizető számból ebbe a sorba azoknak az előfizetőknek a számát kell beírni (főben kifejezett adatként), akiknek a számlázási címük az adóév első napján az adott településen található.</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13. sor: </w:t>
      </w:r>
      <w:r w:rsidRPr="00AB058D">
        <w:rPr>
          <w:rFonts w:ascii="Times New Roman" w:eastAsia="Times New Roman" w:hAnsi="Times New Roman" w:cs="Times New Roman"/>
          <w:color w:val="1A171C"/>
          <w:sz w:val="24"/>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14. sor: </w:t>
      </w:r>
      <w:r w:rsidRPr="00AB058D">
        <w:rPr>
          <w:rFonts w:ascii="Times New Roman" w:eastAsia="Times New Roman" w:hAnsi="Times New Roman" w:cs="Times New Roman"/>
          <w:color w:val="1A171C"/>
          <w:sz w:val="24"/>
        </w:rPr>
        <w:t>A 13. sorban szereplő szolgáltatási hely számból a vezetékes szolgáltatást igénybe vevő számlázási címe alapján az adóév első napján az adott településen lévő szolgáltatási helyek számát kell megadni.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15. sor: </w:t>
      </w:r>
      <w:r w:rsidRPr="00AB058D">
        <w:rPr>
          <w:rFonts w:ascii="Times New Roman" w:eastAsia="Times New Roman" w:hAnsi="Times New Roman" w:cs="Times New Roman"/>
          <w:color w:val="1A171C"/>
          <w:sz w:val="24"/>
        </w:rPr>
        <w:t>Ezt a sort annak a vezetékes távközlési szolgáltatónak kell kitölteni, amelyik vezeték nélküli távközlési szolgáltatást is nyújt, de a vezeték nélküli távközlési tevékenységből származó nettó árbevétele az összes árbevétel 75%-át nem éri el. Itt kell szerepeltetnie az utólag fizetett díjú vezeték nélküli távközlési szolgáltatást az adóév első napján igénybe vevő összes előfizető számát.</w:t>
      </w:r>
      <w:r w:rsidRPr="00AB058D">
        <w:rPr>
          <w:rFonts w:ascii="Times New Roman" w:eastAsia="Times New Roman" w:hAnsi="Times New Roman" w:cs="Times New Roman"/>
          <w:sz w:val="24"/>
        </w:rPr>
        <w:t xml:space="preserve"> </w:t>
      </w:r>
    </w:p>
    <w:p w:rsidR="00AB058D" w:rsidRPr="00AB058D" w:rsidRDefault="00AB058D" w:rsidP="00AB058D">
      <w:pPr>
        <w:spacing w:after="161"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16. sor: </w:t>
      </w:r>
      <w:r w:rsidRPr="00AB058D">
        <w:rPr>
          <w:rFonts w:ascii="Times New Roman" w:eastAsia="Times New Roman" w:hAnsi="Times New Roman" w:cs="Times New Roman"/>
          <w:color w:val="1A171C"/>
          <w:sz w:val="24"/>
        </w:rPr>
        <w:t>A 15. sorban szereplő számadatból azt az előfizető számot kell itt feltüntetni, amelyik - az előfizető számlázási címe alapján - az adott településre jut.</w:t>
      </w:r>
      <w:r w:rsidRPr="00AB058D">
        <w:rPr>
          <w:rFonts w:ascii="Times New Roman" w:eastAsia="Times New Roman" w:hAnsi="Times New Roman" w:cs="Times New Roman"/>
          <w:sz w:val="24"/>
        </w:rPr>
        <w:t xml:space="preserve"> </w:t>
      </w:r>
    </w:p>
    <w:p w:rsidR="00AB058D" w:rsidRPr="00AB058D" w:rsidRDefault="00AB058D" w:rsidP="009F0F52">
      <w:pPr>
        <w:spacing w:after="175" w:line="259" w:lineRule="auto"/>
        <w:ind w:left="0" w:right="0" w:firstLine="0"/>
        <w:jc w:val="center"/>
        <w:rPr>
          <w:rFonts w:ascii="Times New Roman" w:eastAsia="Times New Roman" w:hAnsi="Times New Roman" w:cs="Times New Roman"/>
          <w:color w:val="1A171C"/>
          <w:sz w:val="24"/>
        </w:rPr>
      </w:pPr>
    </w:p>
    <w:p w:rsidR="00AB058D" w:rsidRDefault="00AB058D" w:rsidP="009F0F52">
      <w:pPr>
        <w:spacing w:after="0" w:line="259" w:lineRule="auto"/>
        <w:ind w:left="0" w:right="0" w:firstLine="0"/>
        <w:jc w:val="center"/>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w:t>
      </w:r>
      <w:r w:rsidR="009F0F52">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b/>
          <w:color w:val="1A171C"/>
          <w:sz w:val="24"/>
        </w:rPr>
        <w:t>„G" JELŰ BETÉTLAPHOZ</w:t>
      </w:r>
    </w:p>
    <w:p w:rsidR="009F0F52" w:rsidRPr="009F0F52" w:rsidRDefault="009F0F52" w:rsidP="009F0F52">
      <w:pPr>
        <w:spacing w:after="0" w:line="259" w:lineRule="auto"/>
        <w:ind w:left="0" w:right="0" w:firstLine="0"/>
        <w:jc w:val="center"/>
        <w:rPr>
          <w:rFonts w:ascii="Times New Roman" w:eastAsia="Times New Roman" w:hAnsi="Times New Roman" w:cs="Times New Roman"/>
          <w:color w:val="1A171C"/>
          <w:sz w:val="24"/>
        </w:rPr>
      </w:pPr>
    </w:p>
    <w:p w:rsidR="00AB058D" w:rsidRPr="00AB058D" w:rsidRDefault="00AB058D" w:rsidP="00AB058D">
      <w:pPr>
        <w:spacing w:after="170"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„G" jelű betétlapon a túlfizetésekről és a fennálló köztartozásokról kell nyilatkozni az adózóknak.</w:t>
      </w:r>
      <w:r w:rsidRPr="00AB058D">
        <w:rPr>
          <w:rFonts w:ascii="Times New Roman" w:eastAsia="Times New Roman" w:hAnsi="Times New Roman" w:cs="Times New Roman"/>
          <w:sz w:val="24"/>
        </w:rPr>
        <w:t xml:space="preserve"> </w:t>
      </w:r>
    </w:p>
    <w:p w:rsidR="00AB058D" w:rsidRPr="00AB058D" w:rsidRDefault="00AB058D" w:rsidP="00AB058D">
      <w:pPr>
        <w:spacing w:after="152"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 betétlapot együtt kell kezelni a bevallási főlappal,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166"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„G" jelű betétlapot kizárólag abban az esetben kell kitölteni az adózónak, ha túlfizetése vagy túlfizetés mellett fennálló köztartozása van.</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59"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 Nyilatkozat</w:t>
      </w:r>
      <w:r w:rsidRPr="00AB058D">
        <w:rPr>
          <w:rFonts w:ascii="Times New Roman" w:eastAsia="Times New Roman" w:hAnsi="Times New Roman" w:cs="Times New Roman"/>
          <w:b/>
          <w:sz w:val="24"/>
        </w:rPr>
        <w:t xml:space="preserve"> </w:t>
      </w:r>
    </w:p>
    <w:p w:rsidR="00AB058D" w:rsidRPr="00AB058D" w:rsidRDefault="00AB058D" w:rsidP="00AB058D">
      <w:pPr>
        <w:spacing w:after="163"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adóban vagy más adóhatóságnál fennálló adó- vagy köztartozás kiegyenlítésére, illetőleg az adózó kérheti a túlfizetés visszatérítését is.</w:t>
      </w:r>
      <w:r w:rsidRPr="00AB058D">
        <w:rPr>
          <w:rFonts w:ascii="Times New Roman" w:eastAsia="Times New Roman" w:hAnsi="Times New Roman" w:cs="Times New Roman"/>
          <w:sz w:val="24"/>
        </w:rPr>
        <w:t xml:space="preserve"> </w:t>
      </w:r>
    </w:p>
    <w:p w:rsidR="00AB058D" w:rsidRPr="00AB058D" w:rsidRDefault="00AB058D" w:rsidP="00AB058D">
      <w:pPr>
        <w:spacing w:after="166"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önkormányzati adóhatóság a túlfizetés összegét csak akkor térítheti vissza, ha az adózónak nincs az önkormányzati adóhatóságnál nyilvántartott adók módjára behajtandó köztartozása. Rendelkezés hiányában az önkormányzati adóhatóság a túlfizetés összegét - az Art. szabályai szerint - a később esedékes adóra számolja el.</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55"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III. Más adónemben, adóhatóságnál nyilvántartott lejárt esedékességű köztartozásra átvezetendő összegek</w:t>
      </w:r>
      <w:r w:rsidRPr="00AB058D">
        <w:rPr>
          <w:rFonts w:ascii="Times New Roman" w:eastAsia="Times New Roman" w:hAnsi="Times New Roman" w:cs="Times New Roman"/>
          <w:b/>
          <w:sz w:val="24"/>
        </w:rPr>
        <w:t xml:space="preserve"> </w:t>
      </w:r>
    </w:p>
    <w:p w:rsidR="00AB058D" w:rsidRPr="00AB058D" w:rsidRDefault="00AB058D" w:rsidP="009F0F52">
      <w:pPr>
        <w:spacing w:after="167" w:line="269" w:lineRule="auto"/>
        <w:ind w:left="-5" w:right="0"/>
        <w:rPr>
          <w:rFonts w:ascii="Times New Roman" w:eastAsia="Times New Roman" w:hAnsi="Times New Roman" w:cs="Times New Roman"/>
          <w:color w:val="1A171C"/>
          <w:sz w:val="24"/>
        </w:rPr>
        <w:sectPr w:rsidR="00AB058D" w:rsidRPr="00AB058D">
          <w:footnotePr>
            <w:numRestart w:val="eachPage"/>
          </w:footnotePr>
          <w:pgSz w:w="11899" w:h="16841"/>
          <w:pgMar w:top="722" w:right="713" w:bottom="724" w:left="720" w:header="708" w:footer="708" w:gutter="0"/>
          <w:cols w:space="708"/>
        </w:sectPr>
      </w:pPr>
      <w:r w:rsidRPr="00AB058D">
        <w:rPr>
          <w:rFonts w:ascii="Times New Roman" w:eastAsia="Times New Roman" w:hAnsi="Times New Roman" w:cs="Times New Roman"/>
          <w:color w:val="1A171C"/>
          <w:sz w:val="24"/>
        </w:rPr>
        <w:t>Az adózónak ebben a pontban kell nyilatkoznia a más adóhatóságnál nyilvántartott köztartozás összegéről, megjelölve a köztartozást nyilvántartó szervet, a köztartozás fajtáját, összegét és azt a bankszámlaszámot, ahová a köztartozást eredetileg meg kellett volna fizetnie.</w:t>
      </w:r>
      <w:r w:rsidRPr="00AB058D">
        <w:rPr>
          <w:rFonts w:ascii="Times New Roman" w:eastAsia="Times New Roman" w:hAnsi="Times New Roman" w:cs="Times New Roman"/>
          <w:sz w:val="24"/>
        </w:rPr>
        <w:t xml:space="preserve"> </w:t>
      </w:r>
    </w:p>
    <w:p w:rsidR="00AB058D" w:rsidRPr="00AB058D" w:rsidRDefault="00AB058D" w:rsidP="009F0F52">
      <w:pPr>
        <w:keepNext/>
        <w:keepLines/>
        <w:spacing w:after="214" w:line="259" w:lineRule="auto"/>
        <w:ind w:left="0" w:right="139" w:firstLine="0"/>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lastRenderedPageBreak/>
        <w:t>KITÖLTÉSI ÚTMUTATÓ A „H"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170"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„H" jelű betétlap az önellenőrzési pótlék bevallására szolgál.</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 betétlapot együtt kell kezelni a bevallási főlappal,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168"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„H" jelű betétlapot minden olyan esetben ki kell töltenie az adózónak, amikor - az Art. alapján - korábban megállapított és bevallott adóalapját, adóját utólag önellenőrzéssel - akár terhére, akár javára - helyesbíti. Abban az esetben, ha a helyesbítés az adózó javára szolgál, akkor értelemszerűen a nyomtatvány utolsó két rovatában -„az önellenőrzési pótlék alapja", illetve az önellenőrzési pótlék összege" - nem szerepeltet adatot. Az adózó javára mutatkozó helyesbítés esetén önellenőrzési pótlékot sem felszámítani, sem megfizetni nem kell [Art. 57. § (3) bek.]</w:t>
      </w:r>
      <w:r w:rsidRPr="00AB058D">
        <w:rPr>
          <w:rFonts w:ascii="Times New Roman" w:eastAsia="Times New Roman" w:hAnsi="Times New Roman" w:cs="Times New Roman"/>
          <w:sz w:val="24"/>
        </w:rPr>
        <w:t xml:space="preserve"> </w:t>
      </w:r>
    </w:p>
    <w:p w:rsidR="00AB058D" w:rsidRPr="00AB058D" w:rsidRDefault="00AB058D" w:rsidP="00AB058D">
      <w:pPr>
        <w:spacing w:after="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b/>
          <w:color w:val="1A171C"/>
          <w:sz w:val="24"/>
        </w:rPr>
        <w:tab/>
        <w:t xml:space="preserve"> </w:t>
      </w:r>
      <w:r w:rsidRPr="00AB058D">
        <w:rPr>
          <w:rFonts w:ascii="Times New Roman" w:eastAsia="Times New Roman" w:hAnsi="Times New Roman" w:cs="Times New Roman"/>
          <w:color w:val="1A171C"/>
          <w:sz w:val="24"/>
        </w:rPr>
        <w:br w:type="page"/>
      </w:r>
    </w:p>
    <w:p w:rsidR="00AB058D" w:rsidRPr="00AB058D" w:rsidRDefault="00AB058D" w:rsidP="00AB058D">
      <w:pPr>
        <w:spacing w:after="226" w:line="259" w:lineRule="auto"/>
        <w:ind w:left="55" w:right="0" w:firstLine="0"/>
        <w:jc w:val="center"/>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lastRenderedPageBreak/>
        <w:t xml:space="preserve"> </w:t>
      </w:r>
    </w:p>
    <w:p w:rsidR="00AB058D" w:rsidRPr="00AB058D" w:rsidRDefault="00AB058D" w:rsidP="00AB058D">
      <w:pPr>
        <w:keepNext/>
        <w:keepLines/>
        <w:spacing w:after="214" w:line="259" w:lineRule="auto"/>
        <w:ind w:left="144" w:right="141"/>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 xml:space="preserve">KITÖLTÉSI ÚTMUTATÓ AZ „I" JELŰ BETÉTLAPHOZ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IFRS-eket alkalmazókra vonatkozó adóalap-szabályokat a Htv. 2016. január 1-jétől hatályos 40/B-40/ M. §-ai, illetve 52. §-ának újonnan megállapított pontjai tartalmazzák. Ha a helyi iparűzési adókötelezettséget érintően valamely kérdést ezen §-ok nem érintenek, azaz speciális szabály nincs, az IFRS-t alkalmazó vállalkozásoknak is a helyi iparűzési adó általános szabályait kell alkalmazniuk. </w:t>
      </w:r>
    </w:p>
    <w:p w:rsidR="00AB058D" w:rsidRPr="00AB058D" w:rsidRDefault="00AB058D" w:rsidP="00AB058D">
      <w:pPr>
        <w:spacing w:after="168"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elemeiről. Emellett azonban ki kell tölteniük a főlapot és az „E" jelű betétlapot is.</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 betétlapot együtt kell kezelni a bevallási főlappal,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Adóalany</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adóalany azonosítására szolgáló mező, az adózó nevét és adóazonosító számát kell feltüntetni.</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Nettó árbevétel</w:t>
      </w:r>
      <w:r w:rsidRPr="00AB058D">
        <w:rPr>
          <w:rFonts w:ascii="Times New Roman" w:eastAsia="Times New Roman" w:hAnsi="Times New Roman" w:cs="Times New Roman"/>
          <w:b/>
          <w:sz w:val="24"/>
        </w:rPr>
        <w:t xml:space="preserve"> </w:t>
      </w:r>
    </w:p>
    <w:p w:rsidR="00AB058D" w:rsidRPr="00AB058D" w:rsidRDefault="00AB058D" w:rsidP="00AB058D">
      <w:pPr>
        <w:spacing w:after="22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i/>
          <w:color w:val="1A171C"/>
          <w:sz w:val="24"/>
        </w:rPr>
        <w:t>II/1. A nem pénzügyi szektorba tartozó adózók nettó árbevétele</w:t>
      </w:r>
      <w:r w:rsidRPr="00AB058D">
        <w:rPr>
          <w:rFonts w:ascii="Times New Roman" w:eastAsia="Times New Roman" w:hAnsi="Times New Roman" w:cs="Times New Roman"/>
          <w:i/>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nettó árbevétel meghatározásának szabályait, azaz az adólap-megállapítás legfontosabb elemét a Htv. új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3-18-ig terjedő sorok összegének a 19-24. sorok összegével csökkentett, 25. sorral korrigált értékével. </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bevétel magában foglalja az áru értékesítése, szolgáltatás nyújtása esetén, valamint jogdíjra való jogosultság alapján az </w:t>
      </w:r>
      <w:r w:rsidRPr="00AB058D">
        <w:rPr>
          <w:rFonts w:ascii="Times New Roman" w:eastAsia="Times New Roman" w:hAnsi="Times New Roman" w:cs="Times New Roman"/>
          <w:sz w:val="24"/>
        </w:rPr>
        <w:t xml:space="preserve">az IFRS 15 Vevői szerződésekből származó bevétel című standard szerint elszámolt </w:t>
      </w:r>
      <w:r w:rsidRPr="00AB058D">
        <w:rPr>
          <w:rFonts w:ascii="Times New Roman" w:eastAsia="Times New Roman" w:hAnsi="Times New Roman" w:cs="Times New Roman"/>
          <w:color w:val="1A171C"/>
          <w:sz w:val="24"/>
        </w:rPr>
        <w:t>összeget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6"/>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Ebben a sorban azon bevételeket kell feltüntetni, melyeket más standardok az IFRS15 szerinti bevételként rendelnek elszámolni. </w:t>
      </w:r>
    </w:p>
    <w:p w:rsidR="00AB058D" w:rsidRPr="00AB058D" w:rsidRDefault="00AB058D" w:rsidP="00AB058D">
      <w:pPr>
        <w:numPr>
          <w:ilvl w:val="0"/>
          <w:numId w:val="2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 IFRS-ek szerint a megszűnt tevékenységeket és az azokból származó bevételeket külön kell nyilvántartani, azokat a beszámolóban is el kell különíteni. Ezt az értéket kell ebben a sorban szerepeltetni.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5.</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azonos termékek cseréje esetén – amennyiben azt az adóalany 2. sor szerinti bevétel megállapítása során nem vette figyelembe – az elcserélt áruk, szolgáltatások számlázott ellenértékét (annak hiányában valós értékét) ebben a sorban kell feltüntetni. Amennyiben az adóalany ezt az értéket bevételként számolta el, akkor a Htv. 40/C. §-ának (2) bekezdése értelmében azt bevételnövelő tényezőként már nem kell figyelembe </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6.</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Tekintettel arra, hogy a nem számlázott utólag adott engedmény az IFRS-ek szerint csökkenti az árbevételt, ennek értékével – amennyiben az adóalany azt bevételként nem vette </w:t>
      </w:r>
      <w:r w:rsidRPr="00AB058D">
        <w:rPr>
          <w:rFonts w:ascii="Times New Roman" w:eastAsia="Times New Roman" w:hAnsi="Times New Roman" w:cs="Times New Roman"/>
          <w:color w:val="1A171C"/>
          <w:sz w:val="24"/>
        </w:rPr>
        <w:lastRenderedPageBreak/>
        <w:t>figyelembe – növelni kell a bevétel összegét a nettó árbevétel kiszámítása során. Amennyiben az adóalany ezt az értéket bevételként számolta el, akkor a Htv. 40/C. §-ának (2) bekezdése értelmében, azt bevételnövelő tényezőként már nem kell figyelembe venni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7"/>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sz w:val="24"/>
        </w:rPr>
        <w:t xml:space="preserve">Ebben a sorban kell feltüntetni azt az összeget, amit halasztott fizetés esetén az adó- alany, mint eladó – IFRS 15 Vevői szerződésekből származó bevétel című standard 60-65. bekezdése szerint – kamatbevételként számol el. E rendelkezés értelmében ugyanis az IFRS-ek alkalmazása során a szokásos fizetési határidőt meghaladó fizetési határnap esetén a vevőtől származó (járó) ellenértéket az eladott termék, nyújtott szolgáltatás árbevételére és a későbbi fizetés miatt számított kamatbevételre kell bontani.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Amennyiben az adóalany ezt az értéket bevételként számolta el, akkor a Htv. 40/C. §-ának (2) bekezdése értelmében, azt bevételnövelő tényezőként már nem kell figyelembe venni. </w:t>
      </w:r>
    </w:p>
    <w:p w:rsidR="00AB058D" w:rsidRPr="00AB058D" w:rsidRDefault="00AB058D" w:rsidP="00AB058D">
      <w:pPr>
        <w:numPr>
          <w:ilvl w:val="0"/>
          <w:numId w:val="27"/>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Az IFRS 15 Vevői szerződésekből származó bevétel című standard standard 51.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árbevétel értékének meghatározásakor</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7"/>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Ha az adóalany a Htv. szerinti közvetített szolgáltatásnak megfelelő ügyletet folytat, előfordulhat, hogy az IFRS 15 alapján nem számol el bevételt (árbevételt), mert az ügylet az IFRS-ek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 </w:t>
      </w:r>
      <w:r w:rsidRPr="00AB058D">
        <w:rPr>
          <w:rFonts w:ascii="Times New Roman" w:eastAsia="Times New Roman" w:hAnsi="Times New Roman" w:cs="Times New Roman"/>
          <w:b/>
          <w:color w:val="1A171C"/>
          <w:sz w:val="24"/>
        </w:rPr>
        <w:t>10. sor</w:t>
      </w:r>
      <w:r w:rsidRPr="00AB058D">
        <w:rPr>
          <w:rFonts w:ascii="Times New Roman" w:eastAsia="Times New Roman" w:hAnsi="Times New Roman" w:cs="Times New Roman"/>
          <w:color w:val="1A171C"/>
          <w:sz w:val="24"/>
        </w:rPr>
        <w:t xml:space="preserve">: Az </w:t>
      </w:r>
      <w:r w:rsidRPr="00AB058D">
        <w:rPr>
          <w:rFonts w:ascii="Times New Roman" w:eastAsia="Times New Roman" w:hAnsi="Times New Roman" w:cs="Times New Roman"/>
          <w:sz w:val="24"/>
        </w:rPr>
        <w:t xml:space="preserve">IFRS-ek rendszerében az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  </w:t>
      </w:r>
    </w:p>
    <w:p w:rsidR="00AB058D" w:rsidRPr="00AB058D" w:rsidRDefault="00AB058D" w:rsidP="00AB058D">
      <w:pPr>
        <w:numPr>
          <w:ilvl w:val="0"/>
          <w:numId w:val="28"/>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8"/>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Az IFRS-ek szerinti pénzügyi lízingszerződés fogalma jóval több ügyletet fog át, mint a magyar jogban ismert pénzügyi lízingszerződés. Ezt a szerződéstípus és az azzal kapcsolatos elszámolási, beszámolási kérdéseket az IAS 17 Lízingszerződések című standard szabályozza. E standard 4. bekezdése szerint a lízing egy olyan megállapodás, amelynek </w:t>
      </w:r>
      <w:r w:rsidRPr="00AB058D">
        <w:rPr>
          <w:rFonts w:ascii="Times New Roman" w:eastAsia="Times New Roman" w:hAnsi="Times New Roman" w:cs="Times New Roman"/>
          <w:sz w:val="24"/>
        </w:rPr>
        <w:lastRenderedPageBreak/>
        <w:t xml:space="preserve">keretében a lízingbeadó egy adott összeg megfizetése vagy fizetések sorozata ellenében átadja a lízingbevevőnek azt a jogot, hogy egy adott eszközt a szerződésben meghatározott ideig használhasson. A pénzügyi lízing pedig egy olyan lízing, amelyben a lízingbe adó lényegileg az eszköz tulajdonlásával járó összes kockázatot és hasznot átadja függetlenül attól, hogy a tulajdonjogot végül átadja-e. Ebben a sorban a lízingfutamidő kezdetének adóévében a lízingfutamidő kezdetekor megjelenített követelés kezdeti közvetlen költségeket nem tartalmazó értékét kell feltüntetni, ami a nettó árbevétel megállapítása során bevételt növelő tétel. (A lízingfutamidő kezdete az az időpont, amikortól a lízingbevevő jogosult a lízingelt eszköz használatára vonatkozó jogát gyakorolni.). </w:t>
      </w:r>
      <w:r w:rsidRPr="00AB058D">
        <w:rPr>
          <w:rFonts w:ascii="Times New Roman" w:eastAsia="Times New Roman" w:hAnsi="Times New Roman" w:cs="Times New Roman"/>
          <w:b/>
          <w:color w:val="1A171C"/>
          <w:sz w:val="24"/>
        </w:rPr>
        <w:t>13. sor</w:t>
      </w:r>
      <w:r w:rsidRPr="00AB058D">
        <w:rPr>
          <w:rFonts w:ascii="Times New Roman" w:eastAsia="Times New Roman" w:hAnsi="Times New Roman" w:cs="Times New Roman"/>
          <w:color w:val="1A171C"/>
          <w:sz w:val="24"/>
        </w:rPr>
        <w:t xml:space="preserve">: Az </w:t>
      </w:r>
      <w:r w:rsidRPr="00AB058D">
        <w:rPr>
          <w:rFonts w:ascii="Times New Roman" w:eastAsia="Times New Roman" w:hAnsi="Times New Roman" w:cs="Times New Roman"/>
          <w:sz w:val="24"/>
        </w:rPr>
        <w:t>IFRS 15 Vevői szerződésekből származó bevétel című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sz w:val="24"/>
        </w:rPr>
        <w:t>adósemlegességet biztosító bevételnövelő tételek közé sorolható az az előírás is, melynek értelmében az üzletág-átruházás esetén az eszközöknek a kötelezettségekkel csökkentett piaci értékét meghaladó vételár növeli az IFRS-ek szerinti bevételt. Ezt ugyanis a magyar számviteli szabályok – az IFRS-ekkel ellentétben – árbevételként rendelik elszámolni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sz w:val="24"/>
        </w:rPr>
        <w:t>IFRS-ek lízingszerződést és az azzal kapcsolatos elszámolási, beszámolási kérdéseket az IAS 17 Lízingszerződések című standard szabályozza. E standard 4. bekezdése szerint a lízing egy olyan megállapodás, amelynek keretében a lízingbeadó egy adott összeg megfizetése vagy fizetések sorozata ellenében átadja a lízingbevevőnek azt a jogot, hogy egy adott eszközt a szerződésben meghatározott ideig használhasson. A pénzügyi lízing olyan ügylet, amely lényegileg az eszköz tulajdonlásával járó összes kockázatot és hasznot átadja függetlenül attól, hogy a tulajdonjog végül vagy átadásra kerül vagy nem. A pénzügyi lízingtől eltérő minden más lízing operatív lízingnek minősül. Az ilyen szerződésekből származó bevételeket ebben a sorban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sz w:val="24"/>
        </w:rPr>
        <w:t>IFRS 15 Vevői szerződésekből származó bevétel című standard 71. pontja a gazdálkodó szervezet és vevője közötti más szerződéseket figyelemmel rendeli módosítani a bevétel összegét.</w:t>
      </w:r>
      <w:r w:rsidRPr="00AB058D">
        <w:rPr>
          <w:rFonts w:ascii="Times New Roman" w:eastAsia="Times New Roman" w:hAnsi="Times New Roman" w:cs="Times New Roman"/>
        </w:rPr>
        <w:t xml:space="preserve"> </w:t>
      </w:r>
      <w:r w:rsidRPr="00AB058D">
        <w:rPr>
          <w:rFonts w:ascii="Times New Roman" w:eastAsia="Times New Roman" w:hAnsi="Times New Roman" w:cs="Times New Roman"/>
          <w:sz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 Tekintettel arra, hogy magyar számvitel ilyen korrekciót nem ismer, a Htv. külön soron, bevételnövelő tételeként rendeli feltüntetni e korrekció összegét</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sz w:val="24"/>
        </w:rPr>
        <w:t xml:space="preserve">IFRS 4 Biztosítási szerződések standard nemcsak a klasszikus biztosítókra vonatkozóan tartalmaz kitételeket. Az e standard hatálya alá tartozó szerződésekből származó bevételeket kell itt feltüntetni azon adóalanyok esetén, melyek csak a standard értelmében </w:t>
      </w:r>
      <w:r w:rsidRPr="00AB058D">
        <w:rPr>
          <w:rFonts w:ascii="Times New Roman" w:eastAsia="Times New Roman" w:hAnsi="Times New Roman" w:cs="Times New Roman"/>
          <w:sz w:val="24"/>
        </w:rPr>
        <w:lastRenderedPageBreak/>
        <w:t>minősülnek biztosítónak. Itt kell szerepeltetni például azt az ellenszolgáltatást (bevételt), amelyet a vállalkozás azért kap, mert kiterjesztett garanciát nyújt eladott termékére</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A Htv. 40/C. §-a (1) bekezdés vagy a Htv. 40/C. § (2) bekezdés </w:t>
      </w:r>
      <w:r w:rsidRPr="00AB058D">
        <w:rPr>
          <w:rFonts w:ascii="Times New Roman" w:eastAsia="Times New Roman" w:hAnsi="Times New Roman" w:cs="Times New Roman"/>
          <w:i/>
          <w:sz w:val="24"/>
        </w:rPr>
        <w:t xml:space="preserve">a, e) és g)–l) </w:t>
      </w:r>
      <w:r w:rsidRPr="00AB058D">
        <w:rPr>
          <w:rFonts w:ascii="Times New Roman" w:eastAsia="Times New Roman" w:hAnsi="Times New Roman" w:cs="Times New Roman"/>
          <w:sz w:val="24"/>
        </w:rPr>
        <w:t xml:space="preserve">pontjai szerinti ügyletről kiállított bizonylaton (számlán) feltüntetett –általános forgalmi adó nélküli - összeg (vevőtől várt, ellenszolgáltatással), amelyet a vállalkozó az adóévben vagy azt követően az IFRS-ek szerint, bevételként (árbevételként) vagy az a)-l) pontok szerinti bevételnövelő tételként nem számolhat el.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2016. július 1-jétől a Htv. önálló – a Tao. törvénytől eltérő – jogdíjfogalmat határoz meg. A korábbi szabályozáshoz képest leszűkült a jogdíj-bevételt eredményező jogosultságok, tevékenységek köre, ennek megfelelően már nem része a jogdíjfogalomnak – többek között – a védjegy, a kereskedelmi név és az üzleti titok. A 2016. július 1-jétől hatályos 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 [Htv. 52. § 51. pont]. A Htv. 51/B. §-ának (2)-(4) bekezdései azonban bizonyos esetekben még lehetővé teszik azt, hogy a nettó árbevétel összegét a Tao. törvény 2016. június 30-án hatályos 4. § 20. pontja szerinti – bővebb tartalmú – jogdíjbevétellel lehessen csökkenteni.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Külön jogszabály szerint felszámítható – árbevételként elszámolandó – felszolgálási díjat nem terheli iparűzési adó, ezért azt le kell vonni a nettó árbevételből. Ebbe a sorba a felszolgálási díj árbevételként elszámolt összeget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Ebben a sorban kell szerepeltetni az adóhatósággal elszámolt jövedéki adó, regisztrációs adó és alkoholos italok utáni népegészségügyi termékadó együttes összegét, melyből a </w:t>
      </w:r>
      <w:r w:rsidRPr="00AB058D">
        <w:rPr>
          <w:rFonts w:ascii="Times New Roman" w:eastAsia="Times New Roman" w:hAnsi="Times New Roman" w:cs="Times New Roman"/>
          <w:b/>
          <w:sz w:val="24"/>
        </w:rPr>
        <w:t>21.1., 21.2., 21.3.</w:t>
      </w:r>
      <w:r w:rsidRPr="00AB058D">
        <w:rPr>
          <w:rFonts w:ascii="Times New Roman" w:eastAsia="Times New Roman" w:hAnsi="Times New Roman" w:cs="Times New Roman"/>
          <w:sz w:val="24"/>
        </w:rPr>
        <w:t xml:space="preserve"> sorokban a jövedéki adó, a regisztrációs adó, a népegészségügyi termékadó összegét külön is fel kell tüntetni.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w:t>
      </w:r>
      <w:r w:rsidRPr="00AB058D">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sz w:val="24"/>
        </w:rPr>
        <w:t>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az IFRS-ek szerint az árbevételt növeli, akkor – magyar számviteli szabályokkal való összhang megteremtése érdekében – ezen összeggel csökkenteni kell az adóköteles bevételt. E korrekció összegét ebben a sorban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14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sz w:val="24"/>
        </w:rPr>
        <w:t xml:space="preserve">Az IFRS 15 standard 61. bekezdése szerint a gazdálkodó egység bevételként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(az adóköteles bevételt csökkentő tételként) feltüntetni, mivel – a számviteli rendszerek adósemlegességének biztosítása érdekében – az IFRS-ek szerint az bevételnövelő tétel. </w:t>
      </w:r>
      <w:r w:rsidRPr="00AB058D">
        <w:rPr>
          <w:rFonts w:ascii="Times New Roman" w:eastAsia="Times New Roman" w:hAnsi="Times New Roman" w:cs="Times New Roman"/>
          <w:b/>
          <w:color w:val="1A171C"/>
          <w:sz w:val="24"/>
        </w:rPr>
        <w:t xml:space="preserve">24. sor: </w:t>
      </w:r>
      <w:r w:rsidRPr="00AB058D">
        <w:rPr>
          <w:rFonts w:ascii="Times New Roman" w:eastAsia="Times New Roman" w:hAnsi="Times New Roman" w:cs="Times New Roman"/>
          <w:sz w:val="24"/>
        </w:rPr>
        <w:t xml:space="preserve">Ebben a sorban kell feltüntetni azon tételeket, amelyeket az adózó korábbi adóévben – a Htv. 40/C. §-ának 2016. december 31-ig hatályos (2) bekezdés k) vagy a Htv. </w:t>
      </w:r>
      <w:r w:rsidRPr="00AB058D">
        <w:rPr>
          <w:rFonts w:ascii="Times New Roman" w:eastAsia="Times New Roman" w:hAnsi="Times New Roman" w:cs="Times New Roman"/>
          <w:sz w:val="24"/>
        </w:rPr>
        <w:lastRenderedPageBreak/>
        <w:t xml:space="preserve">40/C. §-ának (2) bekezdés m) pontja alapján – számlázott tételként már a helyi iparűzési adóalapja részévé tett, azonban a Htv. 40/C. §-ának értelmében a tárgyévben is bevételnek, bevételnövelő tételnek minősülnek.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25. sor:</w:t>
      </w:r>
      <w:r w:rsidRPr="00AB058D">
        <w:rPr>
          <w:rFonts w:ascii="Times New Roman" w:eastAsia="Times New Roman" w:hAnsi="Times New Roman" w:cs="Times New Roman"/>
          <w:sz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rsidR="00AB058D" w:rsidRPr="00AB058D" w:rsidRDefault="00AB058D" w:rsidP="00AB058D">
      <w:pPr>
        <w:spacing w:after="211" w:line="259" w:lineRule="auto"/>
        <w:ind w:left="-5" w:right="0"/>
        <w:jc w:val="left"/>
        <w:rPr>
          <w:rFonts w:ascii="Times New Roman" w:eastAsia="Times New Roman" w:hAnsi="Times New Roman" w:cs="Times New Roman"/>
          <w:color w:val="1A171C"/>
          <w:sz w:val="24"/>
        </w:rPr>
      </w:pPr>
      <w:r w:rsidRPr="00AB058D">
        <w:rPr>
          <w:rFonts w:ascii="Times New Roman" w:eastAsia="Times New Roman" w:hAnsi="Times New Roman" w:cs="Times New Roman"/>
          <w:b/>
          <w:i/>
          <w:color w:val="1A171C"/>
          <w:sz w:val="24"/>
        </w:rPr>
        <w:t>II/2. A pénzügyi szektorba tartozó adózók nettó árbevétele</w:t>
      </w:r>
      <w:r w:rsidRPr="00AB058D">
        <w:rPr>
          <w:rFonts w:ascii="Times New Roman" w:eastAsia="Times New Roman" w:hAnsi="Times New Roman" w:cs="Times New Roman"/>
          <w:b/>
          <w:i/>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E pont 1-13. sorai az éves beszámolóját az IFRS szerint készítő hitelintézet, pénzügyi vállalkozás és a befektetési vállalkozás adóalapjának levezetésére szolgál. </w:t>
      </w:r>
      <w:r w:rsidRPr="00AB058D">
        <w:rPr>
          <w:rFonts w:ascii="Times New Roman" w:eastAsia="Times New Roman" w:hAnsi="Times New Roman" w:cs="Times New Roman"/>
          <w:sz w:val="24"/>
        </w:rPr>
        <w:t xml:space="preserve"> </w:t>
      </w:r>
    </w:p>
    <w:p w:rsidR="00AB058D" w:rsidRPr="00AB058D" w:rsidRDefault="00AB058D" w:rsidP="00AB058D">
      <w:pPr>
        <w:spacing w:after="211" w:line="259" w:lineRule="auto"/>
        <w:ind w:left="-5" w:right="0"/>
        <w:jc w:val="left"/>
        <w:rPr>
          <w:rFonts w:ascii="Times New Roman" w:eastAsia="Times New Roman" w:hAnsi="Times New Roman" w:cs="Times New Roman"/>
          <w:color w:val="1A171C"/>
          <w:sz w:val="24"/>
        </w:rPr>
      </w:pPr>
      <w:r w:rsidRPr="00AB058D">
        <w:rPr>
          <w:rFonts w:ascii="Times New Roman" w:eastAsia="Times New Roman" w:hAnsi="Times New Roman" w:cs="Times New Roman"/>
          <w:b/>
          <w:i/>
          <w:color w:val="1A171C"/>
          <w:sz w:val="24"/>
        </w:rPr>
        <w:t>II/3. A biztosító nettó árbevétele</w:t>
      </w:r>
      <w:r w:rsidRPr="00AB058D">
        <w:rPr>
          <w:rFonts w:ascii="Times New Roman" w:eastAsia="Times New Roman" w:hAnsi="Times New Roman" w:cs="Times New Roman"/>
          <w:b/>
          <w:i/>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E pont 1-15. sorai az éves beszámolóját az IFRS szerint készítő biztosító adóalapjának levezetésére szolgál. </w:t>
      </w:r>
      <w:r w:rsidRPr="00AB058D">
        <w:rPr>
          <w:rFonts w:ascii="Times New Roman" w:eastAsia="Times New Roman" w:hAnsi="Times New Roman" w:cs="Times New Roman"/>
          <w:b/>
          <w:color w:val="1A171C"/>
          <w:sz w:val="24"/>
        </w:rPr>
        <w:t xml:space="preserve"> </w:t>
      </w:r>
    </w:p>
    <w:p w:rsidR="00AB058D" w:rsidRPr="00AB058D" w:rsidRDefault="00AB058D" w:rsidP="00AB058D">
      <w:pPr>
        <w:keepNext/>
        <w:keepLines/>
        <w:tabs>
          <w:tab w:val="center" w:pos="2256"/>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Eladott áruk beszerzési értéke</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feltüntetni a kereskedelmi áruk értékesítéskor nyilvántartott könyv szerinti értékét. Kereskedelmi árunak az IAS 2 Készletek című standard szerinti, továbbértékesítés céljából vásárolt és birtokolt, üzleti évben értékesített áru, telek vagy más ingatlan minősül. Az IAS 2 Készletek című standard 6. bekezdésében foglaltakra tekintettel, csak azon eszközök minősülnek kereskedelmi árunak, melyeket a szokásos üzletmenetet keretében történő értékesítésre tartanak. Az e körön kívül eső, adóévben értékesített eszközök értékét ebben a sorban nem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azon különféle – nem számlázott, számvitelről szóló törvény szerinti – kapott engedmények, rabattok összegét, melyek IAS 2 Készletek standard 11. bekezdése alapján a csökkentik a beszerzési értéket.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(II/1. pont, 5. sor), a cserébe kapott készlet csereszerződés szerinti értékét pedig </w:t>
      </w:r>
      <w:r w:rsidRPr="00AB058D">
        <w:rPr>
          <w:rFonts w:ascii="Times New Roman" w:eastAsia="Times New Roman" w:hAnsi="Times New Roman" w:cs="Times New Roman"/>
          <w:color w:val="1A171C"/>
          <w:sz w:val="24"/>
        </w:rPr>
        <w:lastRenderedPageBreak/>
        <w:t>az elábé összegének megállapításakor lehet figyelembe venni növelő tételként. E sor ez utóbbi, elábét növelő tétel feltüntetésére szolgál.</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Ha a pénzügyi lízingbe adott eszköz nem minősül kereskedelmi árunak az IFRS-ek alkalmazásában, így annak értékét a 2. sorban feltüntetett összeg nem tartalmazza, akkor a pénzügyi lízingbe adott eszköz könyv szerinti értékét ebben a sorban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Ezt a sort akkor kell kitölteni, ha az IFRS-t alkalmazó, az IFRS-ek fogalmi rendje szerinti értelemben vett ügynökként ad el árut, s azután árbevételt nem számol el, de annak értékét a nettó árbevétel összegének meghatározása során a Htv. 40/C. §-ának e) pontja alapján bevételnövelő tételként figyelembe kell venni [II/1. pont 10. sor], mert az a magyar számviteli szabályok szerint árbevétel lenne. Az ilyen áru könyv szerinti értéke - melyet ebben a sorban kell feltüntetni - növeli az elábé-t.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 nem a szokásos tevékenység keretében értékesített áruk értékét.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Itt kell feltüntetni az ügynökként eladott áruk értékéből [6. sor.] és a nem a szokásos kereskedelmi tevékenység keretében értékesített áruk értékéből [7. sor.] azt a részösszeget, melyet az adóalany az adóévet megelőző adóévben elábé-ként már figyelembe vett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rsidR="00AB058D" w:rsidRPr="00AB058D" w:rsidRDefault="00AB058D" w:rsidP="00AB058D">
      <w:pPr>
        <w:numPr>
          <w:ilvl w:val="0"/>
          <w:numId w:val="30"/>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A Htv. értelmében a megszűnt tevékenység IFRS-ek szerint külön kimutatott bevételét és ráfordításait is figyelembe kell venni a helyi iparűzési adó alapjának számítása során. E sor szolgál a megszűnt tevékenység elábé-jának közlésére </w:t>
      </w:r>
    </w:p>
    <w:p w:rsidR="00AB058D" w:rsidRPr="00AB058D" w:rsidRDefault="00AB058D" w:rsidP="00AB058D">
      <w:pPr>
        <w:keepNext/>
        <w:keepLines/>
        <w:tabs>
          <w:tab w:val="center" w:pos="1402"/>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IV.</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Anyagköltség</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31"/>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Ez a sor szolgál az anyagköltség összegének kimunkálására a nyomtatványon jelölt képlet szerint</w:t>
      </w: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számviteli törvény szerinti, nem számlázott, kapott kereskedelmi engedmények, rabattok és más hasonló tételek összegét, melyeket az adózó – a Htv. 52. §-ának 65. pontjában definiált – anyag könyv szerinti értékének megállapításkor az IAS 2 készletek standard 11. bekezdése alapján nem vett figyelembe.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4.</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Itt kell feltüntetni </w:t>
      </w:r>
      <w:r w:rsidRPr="00AB058D">
        <w:rPr>
          <w:rFonts w:ascii="Times New Roman" w:eastAsia="Times New Roman" w:hAnsi="Times New Roman" w:cs="Times New Roman"/>
          <w:color w:val="1A171C"/>
          <w:sz w:val="24"/>
        </w:rPr>
        <w:lastRenderedPageBreak/>
        <w:t>azon költségeket, melyeket az adózó az anyag felhasználásával létrehozott saját előállítású ingatlanok, gépek, berendezések bekerülési értékében már figyelembe vett. Annak értékét ugyanis még egyszer nem lehet figyelembe venni, ezáltal kétszeresen szűkítve a nettó árbevételt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2"/>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rsidR="00AB058D" w:rsidRPr="00AB058D" w:rsidRDefault="00AB058D" w:rsidP="00AB058D">
      <w:pPr>
        <w:numPr>
          <w:ilvl w:val="0"/>
          <w:numId w:val="32"/>
        </w:numPr>
        <w:spacing w:after="25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 Htv. értelmében a megszűnt tevékenység IFRS-ek szerint külön kimutatott bevételét és ráfordításait is figyelembe kell venni a helyi iparűzési adó alapjának számítása során. E sor szolgál a megszűnt tevékenység anyagköltségének.</w:t>
      </w:r>
      <w:r w:rsidRPr="00AB058D">
        <w:rPr>
          <w:rFonts w:ascii="Times New Roman" w:eastAsia="Times New Roman" w:hAnsi="Times New Roman" w:cs="Times New Roman"/>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V.</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Közvetített szolgáltatások értéke</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33"/>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E sor szolgál a közvetített szolgáltatások értéke összegének kimutatására, a nyomtatványon jelölt képlet szerint</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3"/>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 IFRS-ek fogalmi rendjében a nem ügynökként végzett, egyébként – a Htv. 52. §-ának 40. pontja alapján – közvetített szolgáltatások értékének minősülő érték feltüntetésére szolgál.</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3"/>
        </w:numPr>
        <w:spacing w:after="185"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Ha az IFRS-ek szerinti ügynöki értékesítésnek minősül a Htv. szerint egyébként közvetített szolgáltatásnak minősülő ügylet és ennek kapcsán az adóköteles bevételt is növelni kell a Htv. 40/C. §-a (2) bekezdésének e) pontja szerint, akkor a közvetített szolgáltatás bekerülési értéke növeli azt az összeget, amelyet az IFRS-ek alkalmazása és a magyar számviteli szabályok szerint is közvetített szolgáltatások értékének kell tekinteni.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3"/>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rsidR="00AB058D" w:rsidRPr="00AB058D" w:rsidRDefault="00AB058D" w:rsidP="00AB058D">
      <w:pPr>
        <w:numPr>
          <w:ilvl w:val="0"/>
          <w:numId w:val="33"/>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 </w:t>
      </w:r>
    </w:p>
    <w:p w:rsidR="00AB058D" w:rsidRPr="00AB058D" w:rsidRDefault="00AB058D" w:rsidP="00AB058D">
      <w:pPr>
        <w:keepNext/>
        <w:keepLines/>
        <w:tabs>
          <w:tab w:val="center" w:pos="2320"/>
        </w:tabs>
        <w:spacing w:after="209" w:line="259" w:lineRule="auto"/>
        <w:ind w:left="0"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lastRenderedPageBreak/>
        <w:t>VI.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sz w:val="24"/>
        </w:rPr>
        <w:t xml:space="preserve">Alvállalkozói teljesítések értéke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E sor szolgál az alvállalkozói teljesítések értéke összegének kimutatására. Tekintettel arra, hogy sem az IFRS-ek, sem a Htv. IFRS-t alkalmazó adóalanyokra vonatkozó 40/B-40/M §-ai nem fogalmaznak meg attól eltérő definíciót, az IFRS-t alklmazók esetén is a Htv. 52. §-ának 32. pontjában meghatározott érték tekintendő az alvállalkozói teljesítések értékének azzal, hogy nem minősül alvállalkozói teljesítések értékének az az érték, mellyel a vállalkozó a 40/F. § vagy a 40/G. § vagy a 40/H. § alapján eladott áruk beszerzési értéke vagy anyagköltség vagy közvetített szolgáltatások értéke címén az adó alapját csökkentette.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Itt kell szerepeltetni a megszűnt tevékenységből származó alvállalkozói teljesítések értéke összegét. </w:t>
      </w:r>
    </w:p>
    <w:p w:rsidR="00AB058D" w:rsidRPr="00AB058D" w:rsidRDefault="00AB058D" w:rsidP="00AB058D">
      <w:pPr>
        <w:keepNext/>
        <w:keepLines/>
        <w:tabs>
          <w:tab w:val="center" w:pos="1711"/>
        </w:tabs>
        <w:spacing w:after="203" w:line="270" w:lineRule="auto"/>
        <w:ind w:left="-15" w:right="0" w:firstLine="0"/>
        <w:jc w:val="left"/>
        <w:outlineLvl w:val="2"/>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VII.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Áttérési különbözet</w:t>
      </w:r>
      <w:r w:rsidRPr="00AB058D">
        <w:rPr>
          <w:rFonts w:ascii="Times New Roman" w:eastAsia="Times New Roman" w:hAnsi="Times New Roman" w:cs="Times New Roman"/>
          <w:b/>
          <w:sz w:val="24"/>
        </w:rPr>
        <w:t xml:space="preserve"> </w:t>
      </w:r>
    </w:p>
    <w:p w:rsidR="00AB058D" w:rsidRPr="00AB058D" w:rsidRDefault="00AB058D" w:rsidP="00AB058D">
      <w:pPr>
        <w:spacing w:after="12"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Egyes tranzakciókból származó bevételeket a magyar számvitel és az IFRS-ek eltérő időpontokban rendelnek figyelembe venni. Ennek megfelelően egyes esetekben bizonyos ügyletek adóterhe az IFRS-t alkalmazók esetén előbb vagy később keletkezik, mint ha könyveiket a magyar számvitel szerint vezetnék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valamelyikében bevétel lett volna, így az áttérés adóévében vagy azt követően bevételként már nem jelenik meg. Ugyanígy a bevétel kétszeres adóztatása is előállhatna, ha az adott tétel a magyar számvitel szerint az áttérés évét megelőzően, az IFRS-ek szerint pedig az áttérés adóévében vagy azt követően jelenik meg a bevételek között.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E jelenség kiküszöbölésére a Htv. 40/J. §-ának (1) bekezdése megteremti áttérési különbözet jogintézményét, melynek összegét e pont alatt kell levezetni.</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Az e pont alatti sorokat csak az áttérés adóévében kell kitölteni.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 1. és 2. sorban szereplő értékek összege adja az áttérési különbözetet, melyet ebben a sorban kell feltüntetni. Az itt szereplő érték előjele lehet pozitív és negatív is. Negatív értékű áttérési különbözet esetén a negatív előjelet is fel kell tüntetni. Az itt szereplő értéket kell átvezetni a Főlap VII. pontjának 8. sorába.</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w:t>
      </w:r>
      <w:r w:rsidRPr="00AB058D">
        <w:rPr>
          <w:rFonts w:ascii="Times New Roman" w:eastAsia="Times New Roman" w:hAnsi="Times New Roman" w:cs="Times New Roman"/>
          <w:color w:val="1A171C"/>
          <w:sz w:val="24"/>
        </w:rPr>
        <w:t xml:space="preserve"> Itt kell feltüntetni az áttérési különbözet azon elemeinek összegét, melyek az áttérés adóévének adóalapját növelik. Ez az érték megegyezik a 2.1. és 2.2. sorokban szereplő értékek összegével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2.1.</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w:t>
      </w:r>
      <w:r w:rsidRPr="00AB058D">
        <w:rPr>
          <w:rFonts w:ascii="Times New Roman" w:eastAsia="Times New Roman" w:hAnsi="Times New Roman" w:cs="Times New Roman"/>
          <w:color w:val="1A171C"/>
          <w:sz w:val="24"/>
        </w:rPr>
        <w:lastRenderedPageBreak/>
        <w:t>adóalap részeként, de ha a vállalkozó nem tért volna át az IFRS-ek alkalmazására, e tétel - megfelelő elszámolása esetén - az áttérés adóévében vagy azt követően a helyi iparűzési alapját növelné.</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2.2.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 áttérés adóévét megelőző bármely adóévben figyelembe vett olyan nettó árbevétel-csökkentő tényezők összegét kell ebben a sorban feltüntetni, melyek az IFRS-ek alkalmazásával az áttérés adóévében vagy az azt követő bármely adóévben ismételten adóalap-csökkentő tényezőként jelennek meg, de ha a vállalkozó nem tért volna át az IFRS-ek alkalmazására, e tételek azok megfelelő elszámolása esetén nem csökkentenék a helyi iparűzési alapját.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az áttérési különbözet azon elemeinek összegét, melyek az áttérés adóévének adóalapját csökkentik. Ez az érték megegyezik a 3.1. és 3.2. sorokban szereplő értékek összegév.</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4"/>
        </w:numPr>
        <w:spacing w:after="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1.sor </w:t>
      </w:r>
      <w:r w:rsidRPr="00AB058D">
        <w:rPr>
          <w:rFonts w:ascii="Times New Roman" w:eastAsia="Times New Roman" w:hAnsi="Times New Roman" w:cs="Times New Roman"/>
          <w:color w:val="1A171C"/>
          <w:sz w:val="24"/>
        </w:rPr>
        <w:t xml:space="preserve">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 </w:t>
      </w:r>
    </w:p>
    <w:p w:rsidR="00AB058D" w:rsidRPr="00AB058D" w:rsidRDefault="00AB058D" w:rsidP="00AB058D">
      <w:pPr>
        <w:spacing w:after="19"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p>
    <w:p w:rsidR="00AB058D" w:rsidRPr="00AB058D" w:rsidRDefault="00AB058D" w:rsidP="00AB058D">
      <w:pPr>
        <w:spacing w:after="9"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3.2. sor :</w:t>
      </w:r>
      <w:r w:rsidRPr="00AB058D">
        <w:rPr>
          <w:rFonts w:ascii="Times New Roman" w:eastAsia="Times New Roman" w:hAnsi="Times New Roman" w:cs="Times New Roman"/>
          <w:color w:val="1A171C"/>
          <w:sz w:val="24"/>
        </w:rPr>
        <w:t xml:space="preserve"> 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árbevétel-csökkentő tényezőnek minősülnének. </w:t>
      </w:r>
    </w:p>
    <w:p w:rsidR="00AB058D" w:rsidRPr="00AB058D" w:rsidRDefault="00AB058D" w:rsidP="00AB058D">
      <w:pPr>
        <w:spacing w:after="44"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67" w:line="259" w:lineRule="auto"/>
        <w:ind w:left="0" w:right="0" w:firstLine="0"/>
        <w:jc w:val="left"/>
        <w:outlineLvl w:val="3"/>
        <w:rPr>
          <w:rFonts w:ascii="Times New Roman" w:eastAsia="Times New Roman" w:hAnsi="Times New Roman" w:cs="Times New Roman"/>
          <w:b/>
        </w:rPr>
      </w:pPr>
      <w:r w:rsidRPr="00AB058D">
        <w:rPr>
          <w:rFonts w:ascii="Times New Roman" w:eastAsia="Times New Roman" w:hAnsi="Times New Roman" w:cs="Times New Roman"/>
          <w:b/>
          <w:color w:val="1A171C"/>
          <w:sz w:val="24"/>
        </w:rPr>
        <w:t>VIII.</w:t>
      </w:r>
      <w:r w:rsidRPr="00AB058D">
        <w:rPr>
          <w:rFonts w:ascii="Arial" w:eastAsia="Arial" w:hAnsi="Arial" w:cs="Arial"/>
          <w:b/>
          <w:color w:val="1A171C"/>
          <w:sz w:val="24"/>
        </w:rPr>
        <w:t xml:space="preserve"> </w:t>
      </w:r>
      <w:r w:rsidRPr="00AB058D">
        <w:rPr>
          <w:rFonts w:ascii="Times New Roman" w:eastAsia="Times New Roman" w:hAnsi="Times New Roman" w:cs="Times New Roman"/>
          <w:b/>
        </w:rPr>
        <w:t>Áttérési különbözet az IFRS-ek számviteli politika változásakor</w:t>
      </w:r>
      <w:r w:rsidRPr="00AB058D">
        <w:rPr>
          <w:rFonts w:ascii="Times New Roman" w:eastAsia="Times New Roman" w:hAnsi="Times New Roman" w:cs="Times New Roman"/>
          <w:color w:val="1A171C"/>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Új IFRS standardok hatályba lépése vagy a számviteli politika egyéb okból történő változása miatt előállhat olyan helyzet, hogy a gazdálkodó egység a korábbi számviteli politikához képest eltérő időpontban számolja el a bevételt. Ezért a Htv. 40/J. §-ának (3) bekezdése az ilyen esetekre is áttérési különbözetet fogalmaz meg.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A VIII. és VII. pont egyidejűleg nem tölthető ki.  </w:t>
      </w:r>
    </w:p>
    <w:p w:rsidR="00AB058D" w:rsidRPr="00AB058D" w:rsidRDefault="00AB058D" w:rsidP="00AB058D">
      <w:pPr>
        <w:numPr>
          <w:ilvl w:val="0"/>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A 2. és 3. sorban szereplő értékek összege adja az áttérési különbözetet, melyet ebben a sorban kell feltüntetni. Az itt szereplő érték előjele lehet pozitív és negatív is. Negatív értékű áttérési különbözet esetén a negatív előjelet is fel kell tüntetni. Az itt szereplő értéket kell átvezetni a Főlap VII. pontjának 8. sorába.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Itt kell feltüntetni az áttérési különbözet azon elemeinek összegét, melyek az áttérés adóévének adóalapját növelik. Ez az érték megegyezik a 2.1. és 2.2. sorokban szereplő értékek összegével </w:t>
      </w:r>
    </w:p>
    <w:p w:rsidR="00AB058D" w:rsidRPr="00AB058D" w:rsidRDefault="00AB058D" w:rsidP="00AB058D">
      <w:pPr>
        <w:numPr>
          <w:ilvl w:val="1"/>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Itt kell feltüntetni azt az összeget, melyet a vállalkozó az IFRS-ek alkalmazására való áttérést követően, de a számviteli politika változása előtt még nem számolt el bevételként (mert annak elszámolása a számviteli politika változása utáni időpontra esetett volna), azonban új számviteli politika alapján a jövőben sem fog bevételt elszámolni a vállalkozó (mert az új számviteli politika szerint egy, a számviteli politika változása előtti időponthoz kötődik a bevétel-elszámolás). </w:t>
      </w:r>
    </w:p>
    <w:p w:rsidR="00AB058D" w:rsidRPr="00AB058D" w:rsidRDefault="00AB058D" w:rsidP="00AB058D">
      <w:pPr>
        <w:numPr>
          <w:ilvl w:val="1"/>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lastRenderedPageBreak/>
        <w:t>sor:</w:t>
      </w:r>
      <w:r w:rsidRPr="00AB058D">
        <w:rPr>
          <w:rFonts w:ascii="Times New Roman" w:eastAsia="Times New Roman" w:hAnsi="Times New Roman" w:cs="Times New Roman"/>
          <w:color w:val="1A171C"/>
          <w:sz w:val="24"/>
        </w:rPr>
        <w:t xml:space="preserve"> Itt kell feltüntetni azon költségek, ráfordítások összegét, amelyet a számviteli politika változást megelőző és az azt követő időszakban is nettó árbevételt csökkentő tételként lehet figyelembe venni a vállalkozó könyveiben. </w:t>
      </w:r>
    </w:p>
    <w:p w:rsidR="00AB058D" w:rsidRPr="00AB058D" w:rsidRDefault="00AB058D" w:rsidP="00AB058D">
      <w:pPr>
        <w:numPr>
          <w:ilvl w:val="0"/>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az áttérési különbözet azon elemeinek összegét, melyek az áttérés adóévének adóalapját csökkentik. Ez az érték megegyezik a 3.1. és 3.2. sorokban szereplő értékek összegével.</w:t>
      </w:r>
      <w:r w:rsidRPr="00AB058D">
        <w:rPr>
          <w:rFonts w:ascii="Times New Roman" w:eastAsia="Times New Roman" w:hAnsi="Times New Roman" w:cs="Times New Roman"/>
          <w:b/>
          <w:color w:val="1A171C"/>
          <w:sz w:val="24"/>
        </w:rPr>
        <w:t xml:space="preserve"> </w:t>
      </w:r>
    </w:p>
    <w:p w:rsidR="00AB058D" w:rsidRPr="00AB058D" w:rsidRDefault="00AB058D" w:rsidP="00AB058D">
      <w:pPr>
        <w:numPr>
          <w:ilvl w:val="1"/>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Itt kell feltüntetni azt az összeget, amely a számviteli politika változását megelőző és követő időszakban is adóköteles bevételnek minősül. </w:t>
      </w:r>
    </w:p>
    <w:p w:rsidR="00AB058D" w:rsidRPr="00AB058D" w:rsidRDefault="00AB058D" w:rsidP="00AB058D">
      <w:pPr>
        <w:numPr>
          <w:ilvl w:val="1"/>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Itt kell feltüntetni azon annak a ráfordítások az összegét, melyet a vállalkozó kizárólag az elszámolás időpontjának a számviteli politika változására visszavezethető módosulása miatt nem vehet figyelembe sem számviteli politika változását megelőző, sem az azt követő időszakban nettó árbevételt vagy bevételt csökkentő tételként. </w:t>
      </w:r>
    </w:p>
    <w:p w:rsidR="00AB058D" w:rsidRPr="00AB058D" w:rsidRDefault="00AB058D" w:rsidP="00AB058D">
      <w:pPr>
        <w:keepNext/>
        <w:keepLines/>
        <w:spacing w:after="258" w:line="259" w:lineRule="auto"/>
        <w:ind w:left="144" w:right="141"/>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 xml:space="preserve">KITÖLTÉSI ÚTMUTATÓ A „J" JELŰ BETÉTLAPHOZ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 E szabály vonatkozik a családi gazdaságokra, a családi gazdaság tagjaira is. </w:t>
      </w:r>
    </w:p>
    <w:p w:rsidR="00AB058D" w:rsidRPr="00AB058D" w:rsidRDefault="00AB058D" w:rsidP="00AB058D">
      <w:pPr>
        <w:spacing w:after="162"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Az</w:t>
      </w:r>
      <w:r w:rsidRPr="00AB058D">
        <w:rPr>
          <w:rFonts w:ascii="Times New Roman" w:eastAsia="Times New Roman" w:hAnsi="Times New Roman" w:cs="Times New Roman"/>
          <w:b/>
          <w:sz w:val="24"/>
        </w:rPr>
        <w:t xml:space="preserve"> I. pont </w:t>
      </w:r>
      <w:r w:rsidRPr="00AB058D">
        <w:rPr>
          <w:rFonts w:ascii="Times New Roman" w:eastAsia="Times New Roman" w:hAnsi="Times New Roman" w:cs="Times New Roman"/>
          <w:sz w:val="24"/>
        </w:rPr>
        <w:t xml:space="preserve">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 xml:space="preserve">A II. pont első részében </w:t>
      </w:r>
      <w:r w:rsidRPr="00AB058D">
        <w:rPr>
          <w:rFonts w:ascii="Times New Roman" w:eastAsia="Times New Roman" w:hAnsi="Times New Roman" w:cs="Times New Roman"/>
          <w:sz w:val="24"/>
        </w:rPr>
        <w:t>kell rögzíteni az adószámmal rendelkező mezőgazdasági őstermelő, családi gazdálkodó adóalany nevét, adószámát. Ő az, aki a közös őstermelői tevékenység a családi gazdaságban folytatott tevékenység után bevallja az iparűzési adót.</w:t>
      </w:r>
      <w:r w:rsidRPr="00AB058D">
        <w:rPr>
          <w:rFonts w:ascii="Times New Roman" w:eastAsia="Times New Roman" w:hAnsi="Times New Roman" w:cs="Times New Roman"/>
          <w:b/>
          <w:sz w:val="24"/>
        </w:rPr>
        <w:t xml:space="preserve">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A </w:t>
      </w:r>
      <w:r w:rsidRPr="00AB058D">
        <w:rPr>
          <w:rFonts w:ascii="Times New Roman" w:eastAsia="Times New Roman" w:hAnsi="Times New Roman" w:cs="Times New Roman"/>
          <w:b/>
          <w:sz w:val="24"/>
        </w:rPr>
        <w:t>II. pont többi részeiben</w:t>
      </w:r>
      <w:r w:rsidRPr="00AB058D">
        <w:rPr>
          <w:rFonts w:ascii="Times New Roman" w:eastAsia="Times New Roman" w:hAnsi="Times New Roman" w:cs="Times New Roman"/>
          <w:sz w:val="24"/>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 </w:t>
      </w:r>
    </w:p>
    <w:p w:rsidR="00AB058D" w:rsidRPr="00AB058D" w:rsidRDefault="00AB058D" w:rsidP="00AB058D">
      <w:pPr>
        <w:spacing w:after="14" w:line="248" w:lineRule="auto"/>
        <w:ind w:left="10" w:right="49"/>
        <w:rPr>
          <w:rFonts w:ascii="Times New Roman" w:hAnsi="Times New Roman" w:cs="Times New Roman"/>
          <w:sz w:val="24"/>
          <w:szCs w:val="24"/>
        </w:rPr>
      </w:pPr>
    </w:p>
    <w:sectPr w:rsidR="00AB058D" w:rsidRPr="00AB05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235" w:rsidRDefault="00E17235" w:rsidP="00AB058D">
      <w:pPr>
        <w:spacing w:after="0" w:line="240" w:lineRule="auto"/>
      </w:pPr>
      <w:r>
        <w:separator/>
      </w:r>
    </w:p>
  </w:endnote>
  <w:endnote w:type="continuationSeparator" w:id="0">
    <w:p w:rsidR="00E17235" w:rsidRDefault="00E17235" w:rsidP="00AB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235" w:rsidRDefault="00E17235" w:rsidP="00AB058D">
      <w:pPr>
        <w:spacing w:after="0" w:line="240" w:lineRule="auto"/>
      </w:pPr>
      <w:r>
        <w:separator/>
      </w:r>
    </w:p>
  </w:footnote>
  <w:footnote w:type="continuationSeparator" w:id="0">
    <w:p w:rsidR="00E17235" w:rsidRDefault="00E17235" w:rsidP="00AB058D">
      <w:pPr>
        <w:spacing w:after="0" w:line="240" w:lineRule="auto"/>
      </w:pPr>
      <w:r>
        <w:continuationSeparator/>
      </w:r>
    </w:p>
  </w:footnote>
  <w:footnote w:id="1">
    <w:p w:rsidR="00AB058D" w:rsidRDefault="00AB058D" w:rsidP="00AB058D">
      <w:pPr>
        <w:pStyle w:val="footnotedescription"/>
      </w:pPr>
      <w:r>
        <w:rPr>
          <w:rStyle w:val="footnotemark"/>
        </w:rPr>
        <w:footnoteRef/>
      </w:r>
      <w:r>
        <w:t xml:space="preserve"> A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r>
        <w:rPr>
          <w:i w:val="0"/>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12E"/>
    <w:multiLevelType w:val="hybridMultilevel"/>
    <w:tmpl w:val="6714DC9C"/>
    <w:lvl w:ilvl="0" w:tplc="EAC42708">
      <w:start w:val="1"/>
      <w:numFmt w:val="lowerLetter"/>
      <w:lvlText w:val="%1)"/>
      <w:lvlJc w:val="left"/>
      <w:pPr>
        <w:ind w:left="276"/>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E318A1BC">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42B6A992">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D0EC6612">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3982B2AE">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47CCEE1E">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96BE70D4">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15A6F03E">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135E5B92">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1" w15:restartNumberingAfterBreak="0">
    <w:nsid w:val="0A4A7A98"/>
    <w:multiLevelType w:val="hybridMultilevel"/>
    <w:tmpl w:val="F6AE232E"/>
    <w:lvl w:ilvl="0" w:tplc="FD5ECCF4">
      <w:start w:val="3"/>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44A62350">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0BE24544">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B84E26A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603A1EC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6F1AC64E">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32B4A71E">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A1482CC">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4F747F2E">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 w15:restartNumberingAfterBreak="0">
    <w:nsid w:val="0A6B4B3F"/>
    <w:multiLevelType w:val="hybridMultilevel"/>
    <w:tmpl w:val="F2B6C58E"/>
    <w:lvl w:ilvl="0" w:tplc="758CFD02">
      <w:start w:val="14"/>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02FA87A6">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84CAB70A">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80408B54">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C1A087B4">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A4FA8EF8">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6C684BCE">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14A37B2">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2DAAFBE">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 w15:restartNumberingAfterBreak="0">
    <w:nsid w:val="0BE21531"/>
    <w:multiLevelType w:val="hybridMultilevel"/>
    <w:tmpl w:val="7D908A44"/>
    <w:lvl w:ilvl="0" w:tplc="DCD8D39A">
      <w:start w:val="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448AD9F4">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E2821DAA">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8160E686">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56C8B6C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5414110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2390D17C">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419EBD70">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7F2267C">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4" w15:restartNumberingAfterBreak="0">
    <w:nsid w:val="183F5476"/>
    <w:multiLevelType w:val="hybridMultilevel"/>
    <w:tmpl w:val="1160F692"/>
    <w:lvl w:ilvl="0" w:tplc="F542879E">
      <w:start w:val="10"/>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40EAADF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89D6397C">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AA4CB7F4">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7E9479D8">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E88C05E6">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CCB24D9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FD06FEA">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F9524FBA">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5" w15:restartNumberingAfterBreak="0">
    <w:nsid w:val="1F717BFA"/>
    <w:multiLevelType w:val="hybridMultilevel"/>
    <w:tmpl w:val="FDBA721E"/>
    <w:lvl w:ilvl="0" w:tplc="7CA073C8">
      <w:start w:val="1"/>
      <w:numFmt w:val="bullet"/>
      <w:lvlText w:val=""/>
      <w:lvlJc w:val="left"/>
      <w:pPr>
        <w:ind w:left="71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1" w:tplc="31FE663C">
      <w:start w:val="1"/>
      <w:numFmt w:val="bullet"/>
      <w:lvlText w:val="o"/>
      <w:lvlJc w:val="left"/>
      <w:pPr>
        <w:ind w:left="17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812E63D2">
      <w:start w:val="1"/>
      <w:numFmt w:val="bullet"/>
      <w:lvlText w:val="▪"/>
      <w:lvlJc w:val="left"/>
      <w:pPr>
        <w:ind w:left="25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E836EA0E">
      <w:start w:val="1"/>
      <w:numFmt w:val="bullet"/>
      <w:lvlText w:val="•"/>
      <w:lvlJc w:val="left"/>
      <w:pPr>
        <w:ind w:left="32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B3344E1C">
      <w:start w:val="1"/>
      <w:numFmt w:val="bullet"/>
      <w:lvlText w:val="o"/>
      <w:lvlJc w:val="left"/>
      <w:pPr>
        <w:ind w:left="394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1A3844F2">
      <w:start w:val="1"/>
      <w:numFmt w:val="bullet"/>
      <w:lvlText w:val="▪"/>
      <w:lvlJc w:val="left"/>
      <w:pPr>
        <w:ind w:left="466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65DC1560">
      <w:start w:val="1"/>
      <w:numFmt w:val="bullet"/>
      <w:lvlText w:val="•"/>
      <w:lvlJc w:val="left"/>
      <w:pPr>
        <w:ind w:left="53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54E085A6">
      <w:start w:val="1"/>
      <w:numFmt w:val="bullet"/>
      <w:lvlText w:val="o"/>
      <w:lvlJc w:val="left"/>
      <w:pPr>
        <w:ind w:left="61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A6E0492E">
      <w:start w:val="1"/>
      <w:numFmt w:val="bullet"/>
      <w:lvlText w:val="▪"/>
      <w:lvlJc w:val="left"/>
      <w:pPr>
        <w:ind w:left="68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6" w15:restartNumberingAfterBreak="0">
    <w:nsid w:val="228F0CD4"/>
    <w:multiLevelType w:val="hybridMultilevel"/>
    <w:tmpl w:val="9C5AA8D6"/>
    <w:lvl w:ilvl="0" w:tplc="C19AE73E">
      <w:start w:val="6"/>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DF8CBBF8">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9AC29F22">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7332A1E0">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A97EF75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B99AE6E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1D883D58">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E4760900">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92C87118">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7" w15:restartNumberingAfterBreak="0">
    <w:nsid w:val="27801A60"/>
    <w:multiLevelType w:val="hybridMultilevel"/>
    <w:tmpl w:val="FE2C6044"/>
    <w:lvl w:ilvl="0" w:tplc="AB66DB26">
      <w:start w:val="1"/>
      <w:numFmt w:val="lowerLetter"/>
      <w:lvlText w:val="%1)"/>
      <w:lvlJc w:val="left"/>
      <w:pPr>
        <w:ind w:left="29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02EA3A18">
      <w:start w:val="1"/>
      <w:numFmt w:val="bullet"/>
      <w:lvlText w:val="•"/>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02A4B8">
      <w:start w:val="1"/>
      <w:numFmt w:val="bullet"/>
      <w:lvlText w:val="▪"/>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CCADAC">
      <w:start w:val="1"/>
      <w:numFmt w:val="bullet"/>
      <w:lvlText w:val="•"/>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02828">
      <w:start w:val="1"/>
      <w:numFmt w:val="bullet"/>
      <w:lvlText w:val="o"/>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8025DE">
      <w:start w:val="1"/>
      <w:numFmt w:val="bullet"/>
      <w:lvlText w:val="▪"/>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8E055C">
      <w:start w:val="1"/>
      <w:numFmt w:val="bullet"/>
      <w:lvlText w:val="•"/>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58CD26">
      <w:start w:val="1"/>
      <w:numFmt w:val="bullet"/>
      <w:lvlText w:val="o"/>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2E30C">
      <w:start w:val="1"/>
      <w:numFmt w:val="bullet"/>
      <w:lvlText w:val="▪"/>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F41BFB"/>
    <w:multiLevelType w:val="hybridMultilevel"/>
    <w:tmpl w:val="555AB824"/>
    <w:lvl w:ilvl="0" w:tplc="BD30531C">
      <w:start w:val="5"/>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C01C8CA0">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4858BC24">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53ECDF0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DBD4DAD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CD30672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5FB86C92">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60008AA">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E5EC1FA0">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9" w15:restartNumberingAfterBreak="0">
    <w:nsid w:val="2C6D117D"/>
    <w:multiLevelType w:val="hybridMultilevel"/>
    <w:tmpl w:val="29B21216"/>
    <w:lvl w:ilvl="0" w:tplc="186E9F22">
      <w:start w:val="1"/>
      <w:numFmt w:val="decimal"/>
      <w:lvlText w:val="%1."/>
      <w:lvlJc w:val="left"/>
      <w:pPr>
        <w:ind w:left="235"/>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807C9268">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38CC6038">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D820E71A">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6F743D3C">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7804D566">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59E892E0">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35DCA71C">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5942C4DA">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0" w15:restartNumberingAfterBreak="0">
    <w:nsid w:val="2ECD3AA5"/>
    <w:multiLevelType w:val="hybridMultilevel"/>
    <w:tmpl w:val="0B0C2F58"/>
    <w:lvl w:ilvl="0" w:tplc="A5460BF0">
      <w:start w:val="4"/>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644C53A8">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B31A7CF0">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8C865E5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BDAE3BE8">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9738BEC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088A0122">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B95C9AFC">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57E8F8A0">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1" w15:restartNumberingAfterBreak="0">
    <w:nsid w:val="3047539A"/>
    <w:multiLevelType w:val="hybridMultilevel"/>
    <w:tmpl w:val="2402BE1A"/>
    <w:lvl w:ilvl="0" w:tplc="63DA01F0">
      <w:start w:val="3"/>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C608C74C">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6CEC3862">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669028EA">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FCDC1DF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575A7C00">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91D8873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37200DB4">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FAED0E6">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2" w15:restartNumberingAfterBreak="0">
    <w:nsid w:val="33767DB7"/>
    <w:multiLevelType w:val="hybridMultilevel"/>
    <w:tmpl w:val="52EE078C"/>
    <w:lvl w:ilvl="0" w:tplc="C6AC3D1A">
      <w:start w:val="3"/>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6E2041C0">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EB5CA77C">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DE7A6CFC">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98882D04">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558E9B1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CC06B8A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ECFE4A88">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AAF8753C">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3" w15:restartNumberingAfterBreak="0">
    <w:nsid w:val="3CC7553B"/>
    <w:multiLevelType w:val="hybridMultilevel"/>
    <w:tmpl w:val="DA848BEE"/>
    <w:lvl w:ilvl="0" w:tplc="BA0027E0">
      <w:start w:val="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32A8A57C">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1D14DB82">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B5F404BA">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D3C60D32">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8FB81CF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28C21042">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FC0AA150">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85AA866">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4" w15:restartNumberingAfterBreak="0">
    <w:nsid w:val="42185951"/>
    <w:multiLevelType w:val="hybridMultilevel"/>
    <w:tmpl w:val="869CA9AA"/>
    <w:lvl w:ilvl="0" w:tplc="6BAAE794">
      <w:start w:val="1"/>
      <w:numFmt w:val="bullet"/>
      <w:lvlText w:val=""/>
      <w:lvlJc w:val="left"/>
      <w:pPr>
        <w:ind w:left="1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1" w:tplc="D1E6E850">
      <w:start w:val="1"/>
      <w:numFmt w:val="bullet"/>
      <w:lvlText w:val="o"/>
      <w:lvlJc w:val="left"/>
      <w:pPr>
        <w:ind w:left="108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08E471AE">
      <w:start w:val="1"/>
      <w:numFmt w:val="bullet"/>
      <w:lvlText w:val="▪"/>
      <w:lvlJc w:val="left"/>
      <w:pPr>
        <w:ind w:left="180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7FCAE29E">
      <w:start w:val="1"/>
      <w:numFmt w:val="bullet"/>
      <w:lvlText w:val="•"/>
      <w:lvlJc w:val="left"/>
      <w:pPr>
        <w:ind w:left="252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6898EF66">
      <w:start w:val="1"/>
      <w:numFmt w:val="bullet"/>
      <w:lvlText w:val="o"/>
      <w:lvlJc w:val="left"/>
      <w:pPr>
        <w:ind w:left="324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A658016A">
      <w:start w:val="1"/>
      <w:numFmt w:val="bullet"/>
      <w:lvlText w:val="▪"/>
      <w:lvlJc w:val="left"/>
      <w:pPr>
        <w:ind w:left="396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A93CED1E">
      <w:start w:val="1"/>
      <w:numFmt w:val="bullet"/>
      <w:lvlText w:val="•"/>
      <w:lvlJc w:val="left"/>
      <w:pPr>
        <w:ind w:left="468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1820E0E4">
      <w:start w:val="1"/>
      <w:numFmt w:val="bullet"/>
      <w:lvlText w:val="o"/>
      <w:lvlJc w:val="left"/>
      <w:pPr>
        <w:ind w:left="540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464C5072">
      <w:start w:val="1"/>
      <w:numFmt w:val="bullet"/>
      <w:lvlText w:val="▪"/>
      <w:lvlJc w:val="left"/>
      <w:pPr>
        <w:ind w:left="612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15" w15:restartNumberingAfterBreak="0">
    <w:nsid w:val="48AC324F"/>
    <w:multiLevelType w:val="hybridMultilevel"/>
    <w:tmpl w:val="8FDEABF4"/>
    <w:lvl w:ilvl="0" w:tplc="1DC8F926">
      <w:start w:val="1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D5EAEFD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0C209D7E">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56DE0B2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2F486BB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51B05762">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9EA25D3E">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7F3C88EE">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753E67F0">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6" w15:restartNumberingAfterBreak="0">
    <w:nsid w:val="4B605606"/>
    <w:multiLevelType w:val="hybridMultilevel"/>
    <w:tmpl w:val="F5242FB6"/>
    <w:lvl w:ilvl="0" w:tplc="CE705AB0">
      <w:start w:val="1"/>
      <w:numFmt w:val="decimal"/>
      <w:lvlText w:val="%1."/>
      <w:lvlJc w:val="left"/>
      <w:pPr>
        <w:ind w:left="276"/>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75CEEC34">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20142758">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A1FA7F5A">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2372311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36FA96BE">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A15CD99C">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F4BEA37A">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478C9FC">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7" w15:restartNumberingAfterBreak="0">
    <w:nsid w:val="4C313DFD"/>
    <w:multiLevelType w:val="hybridMultilevel"/>
    <w:tmpl w:val="891464BC"/>
    <w:lvl w:ilvl="0" w:tplc="DA3A8CAC">
      <w:start w:val="1"/>
      <w:numFmt w:val="lowerLetter"/>
      <w:lvlText w:val="%1)"/>
      <w:lvlJc w:val="left"/>
      <w:pPr>
        <w:ind w:left="271"/>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19CC22BA">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7C6A74C4">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DCB0F390">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868045BC">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BDE44720">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1920372C">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DC3EC2CC">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9B1CE7FA">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18" w15:restartNumberingAfterBreak="0">
    <w:nsid w:val="4EB82EEE"/>
    <w:multiLevelType w:val="hybridMultilevel"/>
    <w:tmpl w:val="3A100928"/>
    <w:lvl w:ilvl="0" w:tplc="90385082">
      <w:start w:val="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F820A7D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BBFA1808">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6CA69580">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E6C82C4C">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B8122E5E">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394213D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0EDC7B74">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748E0404">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9" w15:restartNumberingAfterBreak="0">
    <w:nsid w:val="4FB94369"/>
    <w:multiLevelType w:val="hybridMultilevel"/>
    <w:tmpl w:val="CFA0E33C"/>
    <w:lvl w:ilvl="0" w:tplc="053876C8">
      <w:start w:val="1"/>
      <w:numFmt w:val="lowerLetter"/>
      <w:lvlText w:val="%1)"/>
      <w:lvlJc w:val="left"/>
      <w:pPr>
        <w:ind w:left="276"/>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466AA508">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BD921DEA">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F0406836">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72DE1CA2">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E75C4D72">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6232AF7E">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13EE09C2">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AD645188">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20" w15:restartNumberingAfterBreak="0">
    <w:nsid w:val="51491443"/>
    <w:multiLevelType w:val="hybridMultilevel"/>
    <w:tmpl w:val="0F84B74E"/>
    <w:lvl w:ilvl="0" w:tplc="AFAE123C">
      <w:start w:val="3"/>
      <w:numFmt w:val="lowerLetter"/>
      <w:lvlText w:val="%1)"/>
      <w:lvlJc w:val="left"/>
      <w:pPr>
        <w:ind w:left="271"/>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CBD6652C">
      <w:start w:val="1"/>
      <w:numFmt w:val="lowerLetter"/>
      <w:lvlText w:val="%2)"/>
      <w:lvlJc w:val="left"/>
      <w:pPr>
        <w:ind w:left="954"/>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B4082D3C">
      <w:start w:val="1"/>
      <w:numFmt w:val="lowerRoman"/>
      <w:lvlText w:val="%3"/>
      <w:lvlJc w:val="left"/>
      <w:pPr>
        <w:ind w:left="178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B37ACB48">
      <w:start w:val="1"/>
      <w:numFmt w:val="decimal"/>
      <w:lvlText w:val="%4"/>
      <w:lvlJc w:val="left"/>
      <w:pPr>
        <w:ind w:left="250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0840BE9C">
      <w:start w:val="1"/>
      <w:numFmt w:val="lowerLetter"/>
      <w:lvlText w:val="%5"/>
      <w:lvlJc w:val="left"/>
      <w:pPr>
        <w:ind w:left="322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EDBA8D96">
      <w:start w:val="1"/>
      <w:numFmt w:val="lowerRoman"/>
      <w:lvlText w:val="%6"/>
      <w:lvlJc w:val="left"/>
      <w:pPr>
        <w:ind w:left="394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3D26668C">
      <w:start w:val="1"/>
      <w:numFmt w:val="decimal"/>
      <w:lvlText w:val="%7"/>
      <w:lvlJc w:val="left"/>
      <w:pPr>
        <w:ind w:left="466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98707918">
      <w:start w:val="1"/>
      <w:numFmt w:val="lowerLetter"/>
      <w:lvlText w:val="%8"/>
      <w:lvlJc w:val="left"/>
      <w:pPr>
        <w:ind w:left="538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1422C4FE">
      <w:start w:val="1"/>
      <w:numFmt w:val="lowerRoman"/>
      <w:lvlText w:val="%9"/>
      <w:lvlJc w:val="left"/>
      <w:pPr>
        <w:ind w:left="610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21" w15:restartNumberingAfterBreak="0">
    <w:nsid w:val="53C444A2"/>
    <w:multiLevelType w:val="hybridMultilevel"/>
    <w:tmpl w:val="75FA95D8"/>
    <w:lvl w:ilvl="0" w:tplc="062AB7CE">
      <w:start w:val="2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EA78825A">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3790D77E">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7A4AF95C">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E81E6C22">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BD2AABEC">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13B42230">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E6A60B0E">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67303812">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2" w15:restartNumberingAfterBreak="0">
    <w:nsid w:val="54917615"/>
    <w:multiLevelType w:val="hybridMultilevel"/>
    <w:tmpl w:val="CA9EC6C6"/>
    <w:lvl w:ilvl="0" w:tplc="11E49496">
      <w:start w:val="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BD4803C2">
      <w:start w:val="1"/>
      <w:numFmt w:val="bullet"/>
      <w:lvlText w:val=""/>
      <w:lvlJc w:val="left"/>
      <w:pPr>
        <w:ind w:left="71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75F22F2C">
      <w:start w:val="1"/>
      <w:numFmt w:val="bullet"/>
      <w:lvlText w:val="▪"/>
      <w:lvlJc w:val="left"/>
      <w:pPr>
        <w:ind w:left="17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30DE0A74">
      <w:start w:val="1"/>
      <w:numFmt w:val="bullet"/>
      <w:lvlText w:val="•"/>
      <w:lvlJc w:val="left"/>
      <w:pPr>
        <w:ind w:left="25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6352AE7C">
      <w:start w:val="1"/>
      <w:numFmt w:val="bullet"/>
      <w:lvlText w:val="o"/>
      <w:lvlJc w:val="left"/>
      <w:pPr>
        <w:ind w:left="32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67163ABA">
      <w:start w:val="1"/>
      <w:numFmt w:val="bullet"/>
      <w:lvlText w:val="▪"/>
      <w:lvlJc w:val="left"/>
      <w:pPr>
        <w:ind w:left="394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7A7C7618">
      <w:start w:val="1"/>
      <w:numFmt w:val="bullet"/>
      <w:lvlText w:val="•"/>
      <w:lvlJc w:val="left"/>
      <w:pPr>
        <w:ind w:left="466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EB14EB18">
      <w:start w:val="1"/>
      <w:numFmt w:val="bullet"/>
      <w:lvlText w:val="o"/>
      <w:lvlJc w:val="left"/>
      <w:pPr>
        <w:ind w:left="53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B0A094FA">
      <w:start w:val="1"/>
      <w:numFmt w:val="bullet"/>
      <w:lvlText w:val="▪"/>
      <w:lvlJc w:val="left"/>
      <w:pPr>
        <w:ind w:left="61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23" w15:restartNumberingAfterBreak="0">
    <w:nsid w:val="5BF3465C"/>
    <w:multiLevelType w:val="hybridMultilevel"/>
    <w:tmpl w:val="D940E67C"/>
    <w:lvl w:ilvl="0" w:tplc="B2A26F72">
      <w:start w:val="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D2D4C5A6">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E736B3A8">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A516D4D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090C4AF2">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7FB6F6BC">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4C22239A">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0E808672">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5DD07732">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4" w15:restartNumberingAfterBreak="0">
    <w:nsid w:val="5CE633F8"/>
    <w:multiLevelType w:val="hybridMultilevel"/>
    <w:tmpl w:val="F28A421E"/>
    <w:lvl w:ilvl="0" w:tplc="E36655BA">
      <w:start w:val="1"/>
      <w:numFmt w:val="bullet"/>
      <w:lvlText w:val=""/>
      <w:lvlJc w:val="left"/>
      <w:pPr>
        <w:ind w:left="141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1" w:tplc="53AC73CC">
      <w:start w:val="1"/>
      <w:numFmt w:val="bullet"/>
      <w:lvlText w:val="o"/>
      <w:lvlJc w:val="left"/>
      <w:pPr>
        <w:ind w:left="17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E08A99B8">
      <w:start w:val="1"/>
      <w:numFmt w:val="bullet"/>
      <w:lvlText w:val="▪"/>
      <w:lvlJc w:val="left"/>
      <w:pPr>
        <w:ind w:left="25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C3DC6CEE">
      <w:start w:val="1"/>
      <w:numFmt w:val="bullet"/>
      <w:lvlText w:val="•"/>
      <w:lvlJc w:val="left"/>
      <w:pPr>
        <w:ind w:left="32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4FB2B09A">
      <w:start w:val="1"/>
      <w:numFmt w:val="bullet"/>
      <w:lvlText w:val="o"/>
      <w:lvlJc w:val="left"/>
      <w:pPr>
        <w:ind w:left="394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8FF2CDCA">
      <w:start w:val="1"/>
      <w:numFmt w:val="bullet"/>
      <w:lvlText w:val="▪"/>
      <w:lvlJc w:val="left"/>
      <w:pPr>
        <w:ind w:left="466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708E7DB0">
      <w:start w:val="1"/>
      <w:numFmt w:val="bullet"/>
      <w:lvlText w:val="•"/>
      <w:lvlJc w:val="left"/>
      <w:pPr>
        <w:ind w:left="53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27D2F66A">
      <w:start w:val="1"/>
      <w:numFmt w:val="bullet"/>
      <w:lvlText w:val="o"/>
      <w:lvlJc w:val="left"/>
      <w:pPr>
        <w:ind w:left="61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D79AB07A">
      <w:start w:val="1"/>
      <w:numFmt w:val="bullet"/>
      <w:lvlText w:val="▪"/>
      <w:lvlJc w:val="left"/>
      <w:pPr>
        <w:ind w:left="68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25" w15:restartNumberingAfterBreak="0">
    <w:nsid w:val="60BC47B5"/>
    <w:multiLevelType w:val="hybridMultilevel"/>
    <w:tmpl w:val="3DA086AE"/>
    <w:lvl w:ilvl="0" w:tplc="28AA6AA2">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2E81A">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A6DCDA">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FCD3AC">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6432D0">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824A28">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48C41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92A4FE">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AC283E">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2D4DF3"/>
    <w:multiLevelType w:val="hybridMultilevel"/>
    <w:tmpl w:val="6F80DFDE"/>
    <w:lvl w:ilvl="0" w:tplc="F6A26054">
      <w:start w:val="1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FC2E372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75F22ED6">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1CD201D4">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772086D2">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CD34E5C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1AFEE5E6">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65ACE358">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6D247168">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7" w15:restartNumberingAfterBreak="0">
    <w:nsid w:val="64252F1A"/>
    <w:multiLevelType w:val="multilevel"/>
    <w:tmpl w:val="4A341BD2"/>
    <w:lvl w:ilvl="0">
      <w:start w:val="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8" w15:restartNumberingAfterBreak="0">
    <w:nsid w:val="652D492B"/>
    <w:multiLevelType w:val="hybridMultilevel"/>
    <w:tmpl w:val="89A4F1DA"/>
    <w:lvl w:ilvl="0" w:tplc="FA3C73A0">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ECF2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06AE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875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DCD0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074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98D0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304D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2C8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D431DE"/>
    <w:multiLevelType w:val="hybridMultilevel"/>
    <w:tmpl w:val="BB0A1CD8"/>
    <w:lvl w:ilvl="0" w:tplc="D74E7FF8">
      <w:start w:val="4"/>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BC5A408E">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0A8CD746">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28965C14">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EF5E9CDC">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3FAACE3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363E78D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E64A3CCA">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6B46C812">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0" w15:restartNumberingAfterBreak="0">
    <w:nsid w:val="6C6A7F92"/>
    <w:multiLevelType w:val="hybridMultilevel"/>
    <w:tmpl w:val="A68AAEFA"/>
    <w:lvl w:ilvl="0" w:tplc="530A32EC">
      <w:start w:val="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E746FE7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E9D059B2">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61AA5000">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88D2581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BDFACE10">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D0CCB7E6">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B824668">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945878B0">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1" w15:restartNumberingAfterBreak="0">
    <w:nsid w:val="6D5E00F7"/>
    <w:multiLevelType w:val="hybridMultilevel"/>
    <w:tmpl w:val="57F6ECFA"/>
    <w:lvl w:ilvl="0" w:tplc="F46C65DC">
      <w:start w:val="3"/>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2998069E">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1E9E13CC">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E862A69C">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3FA02B7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94B21F8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90E0610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435C79E4">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9F94739A">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2" w15:restartNumberingAfterBreak="0">
    <w:nsid w:val="6E3B0B1F"/>
    <w:multiLevelType w:val="hybridMultilevel"/>
    <w:tmpl w:val="8AEE671A"/>
    <w:lvl w:ilvl="0" w:tplc="A5E26132">
      <w:start w:val="1"/>
      <w:numFmt w:val="bullet"/>
      <w:lvlText w:val=""/>
      <w:lvlJc w:val="left"/>
      <w:pPr>
        <w:ind w:left="1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1" w:tplc="30A6AA3E">
      <w:start w:val="1"/>
      <w:numFmt w:val="bullet"/>
      <w:lvlText w:val="o"/>
      <w:lvlJc w:val="left"/>
      <w:pPr>
        <w:ind w:left="131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8082676E">
      <w:start w:val="1"/>
      <w:numFmt w:val="bullet"/>
      <w:lvlText w:val="▪"/>
      <w:lvlJc w:val="left"/>
      <w:pPr>
        <w:ind w:left="203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46406510">
      <w:start w:val="1"/>
      <w:numFmt w:val="bullet"/>
      <w:lvlText w:val="•"/>
      <w:lvlJc w:val="left"/>
      <w:pPr>
        <w:ind w:left="275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84B241B4">
      <w:start w:val="1"/>
      <w:numFmt w:val="bullet"/>
      <w:lvlText w:val="o"/>
      <w:lvlJc w:val="left"/>
      <w:pPr>
        <w:ind w:left="347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0DC0E290">
      <w:start w:val="1"/>
      <w:numFmt w:val="bullet"/>
      <w:lvlText w:val="▪"/>
      <w:lvlJc w:val="left"/>
      <w:pPr>
        <w:ind w:left="419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4BA45E60">
      <w:start w:val="1"/>
      <w:numFmt w:val="bullet"/>
      <w:lvlText w:val="•"/>
      <w:lvlJc w:val="left"/>
      <w:pPr>
        <w:ind w:left="491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00E4A8D6">
      <w:start w:val="1"/>
      <w:numFmt w:val="bullet"/>
      <w:lvlText w:val="o"/>
      <w:lvlJc w:val="left"/>
      <w:pPr>
        <w:ind w:left="563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CE3ED9B0">
      <w:start w:val="1"/>
      <w:numFmt w:val="bullet"/>
      <w:lvlText w:val="▪"/>
      <w:lvlJc w:val="left"/>
      <w:pPr>
        <w:ind w:left="635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33" w15:restartNumberingAfterBreak="0">
    <w:nsid w:val="71504D9D"/>
    <w:multiLevelType w:val="hybridMultilevel"/>
    <w:tmpl w:val="9B741E1E"/>
    <w:lvl w:ilvl="0" w:tplc="C71E4188">
      <w:start w:val="20"/>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90081B38">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AC10519C">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50B4A1D2">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A060174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1CEE51A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60D65130">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F7FAEC20">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32A6589A">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4" w15:restartNumberingAfterBreak="0">
    <w:nsid w:val="736D7332"/>
    <w:multiLevelType w:val="hybridMultilevel"/>
    <w:tmpl w:val="4C76E204"/>
    <w:lvl w:ilvl="0" w:tplc="6B32D6FA">
      <w:start w:val="1"/>
      <w:numFmt w:val="lowerLetter"/>
      <w:lvlText w:val="%1)"/>
      <w:lvlJc w:val="left"/>
      <w:pPr>
        <w:ind w:left="7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BB624F8E">
      <w:start w:val="1"/>
      <w:numFmt w:val="lowerLetter"/>
      <w:lvlText w:val="%2"/>
      <w:lvlJc w:val="left"/>
      <w:pPr>
        <w:ind w:left="14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5322C6E4">
      <w:start w:val="1"/>
      <w:numFmt w:val="lowerRoman"/>
      <w:lvlText w:val="%3"/>
      <w:lvlJc w:val="left"/>
      <w:pPr>
        <w:ind w:left="21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9B105464">
      <w:start w:val="1"/>
      <w:numFmt w:val="decimal"/>
      <w:lvlText w:val="%4"/>
      <w:lvlJc w:val="left"/>
      <w:pPr>
        <w:ind w:left="28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197297F4">
      <w:start w:val="1"/>
      <w:numFmt w:val="lowerLetter"/>
      <w:lvlText w:val="%5"/>
      <w:lvlJc w:val="left"/>
      <w:pPr>
        <w:ind w:left="36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D97042CE">
      <w:start w:val="1"/>
      <w:numFmt w:val="lowerRoman"/>
      <w:lvlText w:val="%6"/>
      <w:lvlJc w:val="left"/>
      <w:pPr>
        <w:ind w:left="43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51AA7A58">
      <w:start w:val="1"/>
      <w:numFmt w:val="decimal"/>
      <w:lvlText w:val="%7"/>
      <w:lvlJc w:val="left"/>
      <w:pPr>
        <w:ind w:left="50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F432D4F2">
      <w:start w:val="1"/>
      <w:numFmt w:val="lowerLetter"/>
      <w:lvlText w:val="%8"/>
      <w:lvlJc w:val="left"/>
      <w:pPr>
        <w:ind w:left="57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E198342E">
      <w:start w:val="1"/>
      <w:numFmt w:val="lowerRoman"/>
      <w:lvlText w:val="%9"/>
      <w:lvlJc w:val="left"/>
      <w:pPr>
        <w:ind w:left="64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num w:numId="1">
    <w:abstractNumId w:val="25"/>
  </w:num>
  <w:num w:numId="2">
    <w:abstractNumId w:val="7"/>
  </w:num>
  <w:num w:numId="3">
    <w:abstractNumId w:val="28"/>
  </w:num>
  <w:num w:numId="4">
    <w:abstractNumId w:val="23"/>
  </w:num>
  <w:num w:numId="5">
    <w:abstractNumId w:val="10"/>
  </w:num>
  <w:num w:numId="6">
    <w:abstractNumId w:val="22"/>
  </w:num>
  <w:num w:numId="7">
    <w:abstractNumId w:val="20"/>
  </w:num>
  <w:num w:numId="8">
    <w:abstractNumId w:val="0"/>
  </w:num>
  <w:num w:numId="9">
    <w:abstractNumId w:val="14"/>
  </w:num>
  <w:num w:numId="10">
    <w:abstractNumId w:val="19"/>
  </w:num>
  <w:num w:numId="11">
    <w:abstractNumId w:val="12"/>
  </w:num>
  <w:num w:numId="12">
    <w:abstractNumId w:val="30"/>
  </w:num>
  <w:num w:numId="13">
    <w:abstractNumId w:val="15"/>
  </w:num>
  <w:num w:numId="14">
    <w:abstractNumId w:val="33"/>
  </w:num>
  <w:num w:numId="15">
    <w:abstractNumId w:val="21"/>
  </w:num>
  <w:num w:numId="16">
    <w:abstractNumId w:val="17"/>
  </w:num>
  <w:num w:numId="17">
    <w:abstractNumId w:val="3"/>
  </w:num>
  <w:num w:numId="18">
    <w:abstractNumId w:val="29"/>
  </w:num>
  <w:num w:numId="19">
    <w:abstractNumId w:val="34"/>
  </w:num>
  <w:num w:numId="20">
    <w:abstractNumId w:val="5"/>
  </w:num>
  <w:num w:numId="21">
    <w:abstractNumId w:val="24"/>
  </w:num>
  <w:num w:numId="22">
    <w:abstractNumId w:val="32"/>
  </w:num>
  <w:num w:numId="23">
    <w:abstractNumId w:val="31"/>
  </w:num>
  <w:num w:numId="24">
    <w:abstractNumId w:val="6"/>
  </w:num>
  <w:num w:numId="25">
    <w:abstractNumId w:val="4"/>
  </w:num>
  <w:num w:numId="26">
    <w:abstractNumId w:val="1"/>
  </w:num>
  <w:num w:numId="27">
    <w:abstractNumId w:val="13"/>
  </w:num>
  <w:num w:numId="28">
    <w:abstractNumId w:val="26"/>
  </w:num>
  <w:num w:numId="29">
    <w:abstractNumId w:val="2"/>
  </w:num>
  <w:num w:numId="30">
    <w:abstractNumId w:val="16"/>
  </w:num>
  <w:num w:numId="31">
    <w:abstractNumId w:val="9"/>
  </w:num>
  <w:num w:numId="32">
    <w:abstractNumId w:val="8"/>
  </w:num>
  <w:num w:numId="33">
    <w:abstractNumId w:val="18"/>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8D"/>
    <w:rsid w:val="000C242F"/>
    <w:rsid w:val="002A0A54"/>
    <w:rsid w:val="003A030F"/>
    <w:rsid w:val="005F289A"/>
    <w:rsid w:val="0078364E"/>
    <w:rsid w:val="00901182"/>
    <w:rsid w:val="00967E7C"/>
    <w:rsid w:val="009F0F52"/>
    <w:rsid w:val="00AB058D"/>
    <w:rsid w:val="00B86B0C"/>
    <w:rsid w:val="00CA4E8D"/>
    <w:rsid w:val="00CA5405"/>
    <w:rsid w:val="00E17235"/>
    <w:rsid w:val="00E57376"/>
    <w:rsid w:val="00E93995"/>
    <w:rsid w:val="00F2721E"/>
    <w:rsid w:val="00F43A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9E26"/>
  <w15:chartTrackingRefBased/>
  <w15:docId w15:val="{2706F355-E0AF-4BAB-AC3C-46232483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B058D"/>
    <w:pPr>
      <w:spacing w:after="4" w:line="247" w:lineRule="auto"/>
      <w:ind w:left="385" w:right="63" w:hanging="10"/>
      <w:jc w:val="both"/>
    </w:pPr>
    <w:rPr>
      <w:rFonts w:ascii="Tahoma" w:eastAsia="Tahoma" w:hAnsi="Tahoma" w:cs="Tahoma"/>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058D"/>
    <w:rPr>
      <w:color w:val="0563C1" w:themeColor="hyperlink"/>
      <w:u w:val="single"/>
    </w:rPr>
  </w:style>
  <w:style w:type="character" w:styleId="Feloldatlanmegemlts">
    <w:name w:val="Unresolved Mention"/>
    <w:basedOn w:val="Bekezdsalapbettpusa"/>
    <w:uiPriority w:val="99"/>
    <w:semiHidden/>
    <w:unhideWhenUsed/>
    <w:rsid w:val="00AB058D"/>
    <w:rPr>
      <w:color w:val="605E5C"/>
      <w:shd w:val="clear" w:color="auto" w:fill="E1DFDD"/>
    </w:rPr>
  </w:style>
  <w:style w:type="paragraph" w:customStyle="1" w:styleId="footnotedescription">
    <w:name w:val="footnote description"/>
    <w:next w:val="Norml"/>
    <w:link w:val="footnotedescriptionChar"/>
    <w:hidden/>
    <w:rsid w:val="00AB058D"/>
    <w:pPr>
      <w:spacing w:after="0" w:line="266" w:lineRule="auto"/>
      <w:ind w:right="4"/>
      <w:jc w:val="both"/>
    </w:pPr>
    <w:rPr>
      <w:rFonts w:ascii="Times New Roman" w:eastAsia="Times New Roman" w:hAnsi="Times New Roman" w:cs="Times New Roman"/>
      <w:i/>
      <w:color w:val="000000"/>
      <w:sz w:val="18"/>
      <w:lang w:eastAsia="hu-HU"/>
    </w:rPr>
  </w:style>
  <w:style w:type="character" w:customStyle="1" w:styleId="footnotedescriptionChar">
    <w:name w:val="footnote description Char"/>
    <w:link w:val="footnotedescription"/>
    <w:rsid w:val="00AB058D"/>
    <w:rPr>
      <w:rFonts w:ascii="Times New Roman" w:eastAsia="Times New Roman" w:hAnsi="Times New Roman" w:cs="Times New Roman"/>
      <w:i/>
      <w:color w:val="000000"/>
      <w:sz w:val="18"/>
      <w:lang w:eastAsia="hu-HU"/>
    </w:rPr>
  </w:style>
  <w:style w:type="character" w:customStyle="1" w:styleId="footnotemark">
    <w:name w:val="footnote mark"/>
    <w:hidden/>
    <w:rsid w:val="00AB058D"/>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gitseg.magyarorszag.hu/etananyag/nyomtatvanykitolt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hp-20.asp.lgov.hu/kereses" TargetMode="External"/><Relationship Id="rId4" Type="http://schemas.openxmlformats.org/officeDocument/2006/relationships/settings" Target="settings.xml"/><Relationship Id="rId9" Type="http://schemas.openxmlformats.org/officeDocument/2006/relationships/hyperlink" Target="https://segitseg.magyarorszag.hu/etananyag/nyomtatvanykitolte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454D-B7C0-4EF0-8604-D195988E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15207</Words>
  <Characters>104934</Characters>
  <Application>Microsoft Office Word</Application>
  <DocSecurity>0</DocSecurity>
  <Lines>874</Lines>
  <Paragraphs>239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Iván</dc:creator>
  <cp:keywords/>
  <dc:description/>
  <cp:lastModifiedBy>Önkormányzat Iván</cp:lastModifiedBy>
  <cp:revision>7</cp:revision>
  <dcterms:created xsi:type="dcterms:W3CDTF">2018-06-29T09:43:00Z</dcterms:created>
  <dcterms:modified xsi:type="dcterms:W3CDTF">2018-06-29T11:00:00Z</dcterms:modified>
</cp:coreProperties>
</file>